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140" w:rsidRPr="000F489A" w:rsidRDefault="00701140" w:rsidP="000F489A">
      <w:pPr>
        <w:spacing w:line="276" w:lineRule="auto"/>
        <w:ind w:left="720" w:firstLine="720"/>
        <w:rPr>
          <w:rFonts w:cstheme="minorHAnsi"/>
          <w:b/>
          <w:bCs/>
          <w:sz w:val="32"/>
          <w:szCs w:val="32"/>
        </w:rPr>
      </w:pPr>
      <w:r w:rsidRPr="000F489A">
        <w:rPr>
          <w:rFonts w:cstheme="minorHAnsi"/>
          <w:b/>
          <w:bCs/>
          <w:sz w:val="32"/>
          <w:szCs w:val="32"/>
        </w:rPr>
        <w:t xml:space="preserve">Strategic plan </w:t>
      </w:r>
      <w:r w:rsidR="00DA568A">
        <w:rPr>
          <w:rFonts w:cstheme="minorHAnsi"/>
          <w:b/>
          <w:bCs/>
          <w:sz w:val="32"/>
          <w:szCs w:val="32"/>
        </w:rPr>
        <w:t xml:space="preserve">2019 </w:t>
      </w:r>
      <w:r w:rsidRPr="000F489A">
        <w:rPr>
          <w:rFonts w:cstheme="minorHAnsi"/>
          <w:b/>
          <w:bCs/>
          <w:sz w:val="32"/>
          <w:szCs w:val="32"/>
        </w:rPr>
        <w:t xml:space="preserve">executive summary </w:t>
      </w:r>
    </w:p>
    <w:p w:rsidR="00634B0B" w:rsidRPr="00B76047" w:rsidRDefault="00634B0B" w:rsidP="000F489A">
      <w:pPr>
        <w:spacing w:line="276" w:lineRule="auto"/>
        <w:rPr>
          <w:rFonts w:cstheme="minorHAnsi"/>
          <w:bCs/>
          <w:sz w:val="32"/>
          <w:szCs w:val="32"/>
        </w:rPr>
      </w:pPr>
      <w:r w:rsidRPr="000F489A">
        <w:rPr>
          <w:rFonts w:cstheme="minorHAnsi"/>
          <w:b/>
          <w:bCs/>
          <w:sz w:val="32"/>
          <w:szCs w:val="32"/>
        </w:rPr>
        <w:t>GOAL 1</w:t>
      </w:r>
    </w:p>
    <w:p w:rsidR="00634B0B" w:rsidRPr="000F489A" w:rsidRDefault="00DA7515" w:rsidP="000F489A">
      <w:pPr>
        <w:spacing w:line="276" w:lineRule="auto"/>
        <w:ind w:left="1080"/>
        <w:rPr>
          <w:rFonts w:cstheme="minorHAnsi"/>
          <w:b/>
          <w:sz w:val="28"/>
          <w:szCs w:val="28"/>
        </w:rPr>
      </w:pPr>
      <w:r>
        <w:rPr>
          <w:rFonts w:cstheme="minorHAnsi"/>
          <w:b/>
          <w:sz w:val="28"/>
          <w:szCs w:val="28"/>
        </w:rPr>
        <w:t>E</w:t>
      </w:r>
      <w:r w:rsidR="00634B0B" w:rsidRPr="000F489A">
        <w:rPr>
          <w:rFonts w:cstheme="minorHAnsi"/>
          <w:b/>
          <w:sz w:val="28"/>
          <w:szCs w:val="28"/>
        </w:rPr>
        <w:t xml:space="preserve">nsure the preeminence of learning by addressing the knowledge and skill areas delineated in the appropriate ASHA Standards for the Certificate of Clinical Competence in Speech-Language Pathology. </w:t>
      </w:r>
    </w:p>
    <w:p w:rsidR="00AF1F11" w:rsidRPr="000F489A" w:rsidRDefault="00AF1F11" w:rsidP="000F489A">
      <w:pPr>
        <w:spacing w:line="276" w:lineRule="auto"/>
        <w:rPr>
          <w:rFonts w:cstheme="minorHAnsi"/>
        </w:rPr>
      </w:pPr>
    </w:p>
    <w:p w:rsidR="00634B0B" w:rsidRPr="000F489A" w:rsidRDefault="00634B0B" w:rsidP="000F489A">
      <w:pPr>
        <w:spacing w:line="276" w:lineRule="auto"/>
        <w:rPr>
          <w:rFonts w:cstheme="minorHAnsi"/>
        </w:rPr>
      </w:pPr>
      <w:r w:rsidRPr="000F489A">
        <w:rPr>
          <w:rFonts w:cstheme="minorHAnsi"/>
          <w:b/>
        </w:rPr>
        <w:t>Student Learning Outcomes</w:t>
      </w:r>
      <w:r w:rsidR="008358A4" w:rsidRPr="000F489A">
        <w:rPr>
          <w:rFonts w:cstheme="minorHAnsi"/>
          <w:b/>
        </w:rPr>
        <w:t xml:space="preserve"> </w:t>
      </w:r>
      <w:r w:rsidR="008358A4" w:rsidRPr="000F489A">
        <w:rPr>
          <w:rFonts w:cstheme="minorHAnsi"/>
        </w:rPr>
        <w:t>are strong.</w:t>
      </w:r>
      <w:r w:rsidR="009A2926" w:rsidRPr="000F489A">
        <w:rPr>
          <w:rFonts w:cstheme="minorHAnsi"/>
        </w:rPr>
        <w:t xml:space="preserve"> We are striving to m</w:t>
      </w:r>
      <w:r w:rsidR="008358A4" w:rsidRPr="000F489A">
        <w:rPr>
          <w:rFonts w:cstheme="minorHAnsi"/>
        </w:rPr>
        <w:t>aintain the curr</w:t>
      </w:r>
      <w:r w:rsidR="009A2926" w:rsidRPr="000F489A">
        <w:rPr>
          <w:rFonts w:cstheme="minorHAnsi"/>
        </w:rPr>
        <w:t>ent level of learning out</w:t>
      </w:r>
      <w:r w:rsidR="00F20B3E">
        <w:rPr>
          <w:rFonts w:cstheme="minorHAnsi"/>
        </w:rPr>
        <w:t>c</w:t>
      </w:r>
      <w:r w:rsidR="009A2926" w:rsidRPr="000F489A">
        <w:rPr>
          <w:rFonts w:cstheme="minorHAnsi"/>
        </w:rPr>
        <w:t>omes. The following is</w:t>
      </w:r>
      <w:r w:rsidR="008358A4" w:rsidRPr="000F489A">
        <w:rPr>
          <w:rFonts w:cstheme="minorHAnsi"/>
        </w:rPr>
        <w:t xml:space="preserve"> the summary of the past three years.</w:t>
      </w:r>
    </w:p>
    <w:p w:rsidR="008358A4" w:rsidRPr="000F489A" w:rsidRDefault="008358A4" w:rsidP="000F489A">
      <w:pPr>
        <w:spacing w:line="276" w:lineRule="auto"/>
        <w:rPr>
          <w:rFonts w:cstheme="minorHAnsi"/>
        </w:rPr>
      </w:pPr>
    </w:p>
    <w:p w:rsidR="00634B0B" w:rsidRPr="000F489A" w:rsidRDefault="00634B0B" w:rsidP="000F489A">
      <w:pPr>
        <w:spacing w:line="276" w:lineRule="auto"/>
        <w:rPr>
          <w:rFonts w:cstheme="minorHAnsi"/>
        </w:rPr>
      </w:pPr>
      <w:r w:rsidRPr="000F489A">
        <w:rPr>
          <w:rFonts w:cstheme="minorHAnsi"/>
        </w:rPr>
        <w:t>On-</w:t>
      </w:r>
      <w:r w:rsidR="009A2926" w:rsidRPr="000F489A">
        <w:rPr>
          <w:rFonts w:cstheme="minorHAnsi"/>
        </w:rPr>
        <w:t>time Program Completion Rates: The e</w:t>
      </w:r>
      <w:r w:rsidRPr="000F489A">
        <w:rPr>
          <w:rFonts w:cstheme="minorHAnsi"/>
        </w:rPr>
        <w:t>xpected time of study is 2.5 to 3 years</w:t>
      </w:r>
      <w:r w:rsidR="00FA05AF">
        <w:rPr>
          <w:rFonts w:cstheme="minorHAnsi"/>
        </w:rPr>
        <w:t xml:space="preserve"> (6 to 7 semesters)</w:t>
      </w:r>
      <w:r w:rsidRPr="000F489A">
        <w:rPr>
          <w:rFonts w:cstheme="minorHAnsi"/>
        </w:rPr>
        <w:t xml:space="preserve">. </w:t>
      </w:r>
      <w:r w:rsidR="00FA05AF">
        <w:rPr>
          <w:rFonts w:cstheme="minorHAnsi"/>
        </w:rPr>
        <w:t>Summer is an option.</w:t>
      </w:r>
    </w:p>
    <w:p w:rsidR="00FA05AF" w:rsidRPr="004D1DF8" w:rsidRDefault="00FA05AF" w:rsidP="00FA05AF">
      <w:pPr>
        <w:shd w:val="clear" w:color="auto" w:fill="FFFFFF"/>
        <w:spacing w:before="100" w:beforeAutospacing="1" w:after="1"/>
        <w:rPr>
          <w:rFonts w:ascii="Times New Roman" w:eastAsia="Times New Roman" w:hAnsi="Times New Roman" w:cs="Times New Roman"/>
          <w:b/>
          <w:color w:val="222222"/>
        </w:rPr>
      </w:pPr>
      <w:r w:rsidRPr="004D1DF8">
        <w:rPr>
          <w:rFonts w:ascii="Times New Roman" w:eastAsia="Times New Roman" w:hAnsi="Times New Roman" w:cs="Times New Roman"/>
          <w:b/>
          <w:color w:val="222222"/>
        </w:rPr>
        <w:t>On-time program Completion Rates</w:t>
      </w:r>
    </w:p>
    <w:tbl>
      <w:tblPr>
        <w:tblW w:w="4138" w:type="pct"/>
        <w:tblBorders>
          <w:top w:val="single" w:sz="18" w:space="0" w:color="000000"/>
          <w:left w:val="single" w:sz="18" w:space="0" w:color="000000"/>
          <w:bottom w:val="single" w:sz="18" w:space="0" w:color="000000"/>
          <w:right w:val="single" w:sz="18" w:space="0" w:color="000000"/>
        </w:tblBorders>
        <w:tblCellMar>
          <w:top w:w="75" w:type="dxa"/>
          <w:left w:w="75" w:type="dxa"/>
          <w:bottom w:w="75" w:type="dxa"/>
          <w:right w:w="75" w:type="dxa"/>
        </w:tblCellMar>
        <w:tblLook w:val="04A0" w:firstRow="1" w:lastRow="0" w:firstColumn="1" w:lastColumn="0" w:noHBand="0" w:noVBand="1"/>
      </w:tblPr>
      <w:tblGrid>
        <w:gridCol w:w="1433"/>
        <w:gridCol w:w="3150"/>
        <w:gridCol w:w="3150"/>
      </w:tblGrid>
      <w:tr w:rsidR="00FA05AF" w:rsidRPr="004D1DF8" w:rsidTr="005C59C3">
        <w:tc>
          <w:tcPr>
            <w:tcW w:w="0" w:type="auto"/>
            <w:tcBorders>
              <w:top w:val="single" w:sz="6" w:space="0" w:color="000000"/>
              <w:left w:val="single" w:sz="6" w:space="0" w:color="000000"/>
              <w:bottom w:val="single" w:sz="6" w:space="0" w:color="000000"/>
              <w:right w:val="single" w:sz="6" w:space="0" w:color="000000"/>
            </w:tcBorders>
            <w:vAlign w:val="center"/>
            <w:hideMark/>
          </w:tcPr>
          <w:p w:rsidR="00FA05AF" w:rsidRPr="004D1DF8" w:rsidRDefault="00FA05AF" w:rsidP="005C59C3">
            <w:pPr>
              <w:spacing w:before="100" w:beforeAutospacing="1" w:after="1"/>
              <w:jc w:val="center"/>
              <w:rPr>
                <w:rFonts w:ascii="Arial" w:eastAsia="Times New Roman" w:hAnsi="Arial" w:cs="Arial"/>
                <w:b/>
                <w:color w:val="222222"/>
              </w:rPr>
            </w:pPr>
            <w:r w:rsidRPr="004D1DF8">
              <w:rPr>
                <w:rFonts w:ascii="Book Antiqua" w:eastAsia="Times New Roman" w:hAnsi="Book Antiqua" w:cs="Arial"/>
                <w:b/>
                <w:bCs/>
                <w:color w:val="222222"/>
              </w:rPr>
              <w:t>Reporting Period</w:t>
            </w:r>
          </w:p>
        </w:tc>
        <w:tc>
          <w:tcPr>
            <w:tcW w:w="2037" w:type="pct"/>
            <w:tcBorders>
              <w:top w:val="single" w:sz="6" w:space="0" w:color="000000"/>
              <w:left w:val="single" w:sz="6" w:space="0" w:color="000000"/>
              <w:bottom w:val="single" w:sz="6" w:space="0" w:color="000000"/>
              <w:right w:val="single" w:sz="6" w:space="0" w:color="000000"/>
            </w:tcBorders>
            <w:vAlign w:val="center"/>
            <w:hideMark/>
          </w:tcPr>
          <w:p w:rsidR="00FA05AF" w:rsidRPr="004D1DF8" w:rsidRDefault="00FA05AF" w:rsidP="005C59C3">
            <w:pPr>
              <w:spacing w:before="100" w:beforeAutospacing="1" w:after="1"/>
              <w:jc w:val="center"/>
              <w:rPr>
                <w:rFonts w:ascii="Arial" w:eastAsia="Times New Roman" w:hAnsi="Arial" w:cs="Arial"/>
                <w:b/>
                <w:color w:val="222222"/>
              </w:rPr>
            </w:pPr>
            <w:r w:rsidRPr="004D1DF8">
              <w:rPr>
                <w:rFonts w:ascii="Book Antiqua" w:eastAsia="Times New Roman" w:hAnsi="Book Antiqua" w:cs="Arial"/>
                <w:b/>
                <w:bCs/>
                <w:color w:val="222222"/>
              </w:rPr>
              <w:t># Completed within Expected Time Frame</w:t>
            </w:r>
          </w:p>
        </w:tc>
        <w:tc>
          <w:tcPr>
            <w:tcW w:w="2037" w:type="pct"/>
            <w:tcBorders>
              <w:top w:val="single" w:sz="6" w:space="0" w:color="000000"/>
              <w:left w:val="single" w:sz="6" w:space="0" w:color="000000"/>
              <w:bottom w:val="single" w:sz="6" w:space="0" w:color="000000"/>
              <w:right w:val="single" w:sz="6" w:space="0" w:color="000000"/>
            </w:tcBorders>
          </w:tcPr>
          <w:p w:rsidR="00FA05AF" w:rsidRPr="004D1DF8" w:rsidRDefault="00FA05AF" w:rsidP="005C59C3">
            <w:pPr>
              <w:spacing w:before="100" w:beforeAutospacing="1" w:after="1"/>
              <w:jc w:val="center"/>
              <w:rPr>
                <w:rFonts w:ascii="Book Antiqua" w:eastAsia="Times New Roman" w:hAnsi="Book Antiqua" w:cs="Arial"/>
                <w:b/>
                <w:bCs/>
                <w:color w:val="222222"/>
              </w:rPr>
            </w:pPr>
            <w:r w:rsidRPr="004D1DF8">
              <w:rPr>
                <w:rFonts w:ascii="Book Antiqua" w:eastAsia="Times New Roman" w:hAnsi="Book Antiqua" w:cs="Arial"/>
                <w:b/>
                <w:bCs/>
                <w:color w:val="222222"/>
              </w:rPr>
              <w:t>%Completed within Expected Time Frame</w:t>
            </w:r>
          </w:p>
        </w:tc>
      </w:tr>
      <w:tr w:rsidR="00FA05AF" w:rsidRPr="004D1DF8" w:rsidTr="005C59C3">
        <w:tc>
          <w:tcPr>
            <w:tcW w:w="0" w:type="auto"/>
            <w:tcBorders>
              <w:top w:val="single" w:sz="6" w:space="0" w:color="000000"/>
              <w:left w:val="single" w:sz="6" w:space="0" w:color="000000"/>
              <w:bottom w:val="single" w:sz="6" w:space="0" w:color="000000"/>
              <w:right w:val="single" w:sz="6" w:space="0" w:color="000000"/>
            </w:tcBorders>
            <w:vAlign w:val="center"/>
          </w:tcPr>
          <w:p w:rsidR="00FA05AF" w:rsidRPr="004D1DF8" w:rsidRDefault="00FA05AF" w:rsidP="005C59C3">
            <w:pPr>
              <w:spacing w:before="100" w:beforeAutospacing="1" w:after="1"/>
              <w:jc w:val="center"/>
              <w:rPr>
                <w:rFonts w:ascii="Georgia" w:eastAsia="Times New Roman" w:hAnsi="Georgia" w:cs="Arial"/>
                <w:color w:val="222222"/>
              </w:rPr>
            </w:pPr>
            <w:r>
              <w:rPr>
                <w:rFonts w:ascii="Georgia" w:eastAsia="Times New Roman" w:hAnsi="Georgia" w:cs="Arial"/>
                <w:color w:val="222222"/>
              </w:rPr>
              <w:t>2018-2019</w:t>
            </w:r>
          </w:p>
        </w:tc>
        <w:tc>
          <w:tcPr>
            <w:tcW w:w="2037" w:type="pct"/>
            <w:tcBorders>
              <w:top w:val="single" w:sz="6" w:space="0" w:color="000000"/>
              <w:left w:val="single" w:sz="6" w:space="0" w:color="000000"/>
              <w:bottom w:val="single" w:sz="6" w:space="0" w:color="000000"/>
              <w:right w:val="single" w:sz="6" w:space="0" w:color="000000"/>
            </w:tcBorders>
            <w:vAlign w:val="center"/>
          </w:tcPr>
          <w:p w:rsidR="00FA05AF" w:rsidRPr="004D1DF8" w:rsidRDefault="004F0FAB" w:rsidP="005C59C3">
            <w:pPr>
              <w:spacing w:before="100" w:beforeAutospacing="1" w:after="1"/>
              <w:jc w:val="center"/>
              <w:rPr>
                <w:rFonts w:ascii="Georgia" w:eastAsia="Times New Roman" w:hAnsi="Georgia" w:cs="Arial"/>
                <w:color w:val="222222"/>
              </w:rPr>
            </w:pPr>
            <w:r>
              <w:rPr>
                <w:rFonts w:ascii="Georgia" w:eastAsia="Times New Roman" w:hAnsi="Georgia" w:cs="Arial"/>
                <w:color w:val="222222"/>
              </w:rPr>
              <w:t>30</w:t>
            </w:r>
            <w:r w:rsidR="00FA05AF">
              <w:rPr>
                <w:rFonts w:ascii="Georgia" w:eastAsia="Times New Roman" w:hAnsi="Georgia" w:cs="Arial"/>
                <w:color w:val="222222"/>
              </w:rPr>
              <w:t xml:space="preserve"> out of 31</w:t>
            </w:r>
          </w:p>
        </w:tc>
        <w:tc>
          <w:tcPr>
            <w:tcW w:w="2037" w:type="pct"/>
            <w:tcBorders>
              <w:top w:val="single" w:sz="6" w:space="0" w:color="000000"/>
              <w:left w:val="single" w:sz="6" w:space="0" w:color="000000"/>
              <w:bottom w:val="single" w:sz="6" w:space="0" w:color="000000"/>
              <w:right w:val="single" w:sz="6" w:space="0" w:color="000000"/>
            </w:tcBorders>
          </w:tcPr>
          <w:p w:rsidR="00FA05AF" w:rsidRPr="004D1DF8" w:rsidRDefault="004F0FAB" w:rsidP="005C59C3">
            <w:pPr>
              <w:spacing w:before="100" w:beforeAutospacing="1" w:after="1"/>
              <w:jc w:val="center"/>
              <w:rPr>
                <w:rFonts w:ascii="Georgia" w:eastAsia="Times New Roman" w:hAnsi="Georgia" w:cs="Arial"/>
                <w:color w:val="222222"/>
              </w:rPr>
            </w:pPr>
            <w:r>
              <w:rPr>
                <w:rFonts w:ascii="Georgia" w:eastAsia="Times New Roman" w:hAnsi="Georgia" w:cs="Arial"/>
                <w:color w:val="222222"/>
              </w:rPr>
              <w:t>97</w:t>
            </w:r>
          </w:p>
        </w:tc>
      </w:tr>
      <w:tr w:rsidR="00FA05AF" w:rsidRPr="004D1DF8" w:rsidTr="005C59C3">
        <w:tc>
          <w:tcPr>
            <w:tcW w:w="0" w:type="auto"/>
            <w:tcBorders>
              <w:top w:val="single" w:sz="6" w:space="0" w:color="000000"/>
              <w:left w:val="single" w:sz="6" w:space="0" w:color="000000"/>
              <w:bottom w:val="single" w:sz="6" w:space="0" w:color="000000"/>
              <w:right w:val="single" w:sz="6" w:space="0" w:color="000000"/>
            </w:tcBorders>
            <w:vAlign w:val="center"/>
          </w:tcPr>
          <w:p w:rsidR="00FA05AF" w:rsidRPr="004D1DF8" w:rsidRDefault="00FA05AF" w:rsidP="005C59C3">
            <w:pPr>
              <w:spacing w:before="100" w:beforeAutospacing="1" w:after="1"/>
              <w:jc w:val="center"/>
              <w:rPr>
                <w:rFonts w:ascii="Georgia" w:eastAsia="Times New Roman" w:hAnsi="Georgia" w:cs="Arial"/>
                <w:color w:val="222222"/>
              </w:rPr>
            </w:pPr>
            <w:r w:rsidRPr="004D1DF8">
              <w:rPr>
                <w:rFonts w:ascii="Georgia" w:eastAsia="Times New Roman" w:hAnsi="Georgia" w:cs="Arial"/>
                <w:color w:val="222222"/>
              </w:rPr>
              <w:t>2017-2018</w:t>
            </w:r>
          </w:p>
        </w:tc>
        <w:tc>
          <w:tcPr>
            <w:tcW w:w="2037" w:type="pct"/>
            <w:tcBorders>
              <w:top w:val="single" w:sz="6" w:space="0" w:color="000000"/>
              <w:left w:val="single" w:sz="6" w:space="0" w:color="000000"/>
              <w:bottom w:val="single" w:sz="6" w:space="0" w:color="000000"/>
              <w:right w:val="single" w:sz="6" w:space="0" w:color="000000"/>
            </w:tcBorders>
            <w:vAlign w:val="center"/>
          </w:tcPr>
          <w:p w:rsidR="00FA05AF" w:rsidRPr="004D1DF8" w:rsidRDefault="00FA05AF" w:rsidP="005C59C3">
            <w:pPr>
              <w:spacing w:before="100" w:beforeAutospacing="1" w:after="1"/>
              <w:jc w:val="center"/>
              <w:rPr>
                <w:rFonts w:ascii="Georgia" w:eastAsia="Times New Roman" w:hAnsi="Georgia" w:cs="Arial"/>
                <w:color w:val="222222"/>
              </w:rPr>
            </w:pPr>
            <w:r w:rsidRPr="004D1DF8">
              <w:rPr>
                <w:rFonts w:ascii="Georgia" w:eastAsia="Times New Roman" w:hAnsi="Georgia" w:cs="Arial"/>
                <w:color w:val="222222"/>
              </w:rPr>
              <w:t>22 out of 23</w:t>
            </w:r>
          </w:p>
        </w:tc>
        <w:tc>
          <w:tcPr>
            <w:tcW w:w="2037" w:type="pct"/>
            <w:tcBorders>
              <w:top w:val="single" w:sz="6" w:space="0" w:color="000000"/>
              <w:left w:val="single" w:sz="6" w:space="0" w:color="000000"/>
              <w:bottom w:val="single" w:sz="6" w:space="0" w:color="000000"/>
              <w:right w:val="single" w:sz="6" w:space="0" w:color="000000"/>
            </w:tcBorders>
          </w:tcPr>
          <w:p w:rsidR="00FA05AF" w:rsidRPr="004D1DF8" w:rsidRDefault="00FA05AF" w:rsidP="005C59C3">
            <w:pPr>
              <w:spacing w:before="100" w:beforeAutospacing="1" w:after="1"/>
              <w:jc w:val="center"/>
              <w:rPr>
                <w:rFonts w:ascii="Georgia" w:eastAsia="Times New Roman" w:hAnsi="Georgia" w:cs="Arial"/>
                <w:color w:val="222222"/>
              </w:rPr>
            </w:pPr>
            <w:r w:rsidRPr="004D1DF8">
              <w:rPr>
                <w:rFonts w:ascii="Georgia" w:eastAsia="Times New Roman" w:hAnsi="Georgia" w:cs="Arial"/>
                <w:color w:val="222222"/>
              </w:rPr>
              <w:t>96</w:t>
            </w:r>
          </w:p>
        </w:tc>
      </w:tr>
      <w:tr w:rsidR="00FA05AF" w:rsidRPr="004D1DF8" w:rsidTr="005C59C3">
        <w:tc>
          <w:tcPr>
            <w:tcW w:w="0" w:type="auto"/>
            <w:tcBorders>
              <w:top w:val="single" w:sz="6" w:space="0" w:color="000000"/>
              <w:left w:val="single" w:sz="6" w:space="0" w:color="000000"/>
              <w:bottom w:val="single" w:sz="6" w:space="0" w:color="000000"/>
              <w:right w:val="single" w:sz="6" w:space="0" w:color="000000"/>
            </w:tcBorders>
            <w:vAlign w:val="center"/>
          </w:tcPr>
          <w:p w:rsidR="00FA05AF" w:rsidRPr="004D1DF8" w:rsidRDefault="00FA05AF" w:rsidP="005C59C3">
            <w:pPr>
              <w:spacing w:before="100" w:beforeAutospacing="1" w:after="1"/>
              <w:jc w:val="center"/>
              <w:rPr>
                <w:rFonts w:ascii="Georgia" w:eastAsia="Times New Roman" w:hAnsi="Georgia" w:cs="Arial"/>
                <w:color w:val="222222"/>
              </w:rPr>
            </w:pPr>
            <w:r w:rsidRPr="004D1DF8">
              <w:rPr>
                <w:rFonts w:ascii="Georgia" w:eastAsia="Times New Roman" w:hAnsi="Georgia" w:cs="Arial"/>
                <w:color w:val="222222"/>
              </w:rPr>
              <w:t>2016-2017</w:t>
            </w:r>
          </w:p>
        </w:tc>
        <w:tc>
          <w:tcPr>
            <w:tcW w:w="2037" w:type="pct"/>
            <w:tcBorders>
              <w:top w:val="single" w:sz="6" w:space="0" w:color="000000"/>
              <w:left w:val="single" w:sz="6" w:space="0" w:color="000000"/>
              <w:bottom w:val="single" w:sz="6" w:space="0" w:color="000000"/>
              <w:right w:val="single" w:sz="6" w:space="0" w:color="000000"/>
            </w:tcBorders>
            <w:vAlign w:val="center"/>
          </w:tcPr>
          <w:p w:rsidR="00FA05AF" w:rsidRPr="004D1DF8" w:rsidRDefault="00FA05AF" w:rsidP="005C59C3">
            <w:pPr>
              <w:spacing w:before="100" w:beforeAutospacing="1" w:after="1"/>
              <w:jc w:val="center"/>
              <w:rPr>
                <w:rFonts w:ascii="Georgia" w:eastAsia="Times New Roman" w:hAnsi="Georgia" w:cs="Arial"/>
                <w:color w:val="222222"/>
              </w:rPr>
            </w:pPr>
            <w:r w:rsidRPr="004D1DF8">
              <w:rPr>
                <w:rFonts w:ascii="Georgia" w:eastAsia="Times New Roman" w:hAnsi="Georgia" w:cs="Arial"/>
                <w:color w:val="222222"/>
              </w:rPr>
              <w:t>27 out of 29</w:t>
            </w:r>
          </w:p>
        </w:tc>
        <w:tc>
          <w:tcPr>
            <w:tcW w:w="2037" w:type="pct"/>
            <w:tcBorders>
              <w:top w:val="single" w:sz="6" w:space="0" w:color="000000"/>
              <w:left w:val="single" w:sz="6" w:space="0" w:color="000000"/>
              <w:bottom w:val="single" w:sz="6" w:space="0" w:color="000000"/>
              <w:right w:val="single" w:sz="6" w:space="0" w:color="000000"/>
            </w:tcBorders>
          </w:tcPr>
          <w:p w:rsidR="00FA05AF" w:rsidRPr="004D1DF8" w:rsidRDefault="00FA05AF" w:rsidP="005C59C3">
            <w:pPr>
              <w:spacing w:before="100" w:beforeAutospacing="1" w:after="1"/>
              <w:jc w:val="center"/>
              <w:rPr>
                <w:rFonts w:ascii="Georgia" w:eastAsia="Times New Roman" w:hAnsi="Georgia" w:cs="Arial"/>
                <w:color w:val="222222"/>
              </w:rPr>
            </w:pPr>
            <w:r w:rsidRPr="004D1DF8">
              <w:rPr>
                <w:rFonts w:ascii="Georgia" w:eastAsia="Times New Roman" w:hAnsi="Georgia" w:cs="Arial"/>
                <w:color w:val="222222"/>
              </w:rPr>
              <w:t>93</w:t>
            </w:r>
          </w:p>
        </w:tc>
      </w:tr>
    </w:tbl>
    <w:p w:rsidR="00FA05AF" w:rsidRPr="004D1DF8" w:rsidRDefault="00FA05AF" w:rsidP="00FA05AF">
      <w:pPr>
        <w:shd w:val="clear" w:color="auto" w:fill="FFFFFF"/>
        <w:spacing w:before="100" w:beforeAutospacing="1" w:after="1"/>
        <w:rPr>
          <w:rFonts w:ascii="Arial" w:eastAsia="Times New Roman" w:hAnsi="Arial" w:cs="Arial"/>
          <w:color w:val="222222"/>
        </w:rPr>
      </w:pPr>
      <w:r w:rsidRPr="004D1DF8">
        <w:rPr>
          <w:rFonts w:ascii="Arial" w:eastAsia="Times New Roman" w:hAnsi="Arial" w:cs="Arial"/>
          <w:color w:val="222222"/>
        </w:rPr>
        <w:t> </w:t>
      </w:r>
    </w:p>
    <w:p w:rsidR="00FA05AF" w:rsidRPr="004D1DF8" w:rsidRDefault="00FA05AF" w:rsidP="00FA05AF">
      <w:pPr>
        <w:rPr>
          <w:rFonts w:ascii="Times New Roman" w:hAnsi="Times New Roman" w:cs="Times New Roman"/>
          <w:b/>
        </w:rPr>
      </w:pPr>
      <w:r w:rsidRPr="004D1DF8">
        <w:rPr>
          <w:rFonts w:ascii="Times New Roman" w:hAnsi="Times New Roman" w:cs="Times New Roman"/>
          <w:b/>
        </w:rPr>
        <w:t>Praxis Examination Pass Rates of Test-takers</w:t>
      </w:r>
    </w:p>
    <w:tbl>
      <w:tblPr>
        <w:tblW w:w="4138" w:type="pct"/>
        <w:tblBorders>
          <w:top w:val="single" w:sz="18" w:space="0" w:color="000000"/>
          <w:left w:val="single" w:sz="18" w:space="0" w:color="000000"/>
          <w:bottom w:val="single" w:sz="18" w:space="0" w:color="000000"/>
          <w:right w:val="single" w:sz="18" w:space="0" w:color="000000"/>
        </w:tblBorders>
        <w:tblCellMar>
          <w:top w:w="75" w:type="dxa"/>
          <w:left w:w="75" w:type="dxa"/>
          <w:bottom w:w="75" w:type="dxa"/>
          <w:right w:w="75" w:type="dxa"/>
        </w:tblCellMar>
        <w:tblLook w:val="04A0" w:firstRow="1" w:lastRow="0" w:firstColumn="1" w:lastColumn="0" w:noHBand="0" w:noVBand="1"/>
      </w:tblPr>
      <w:tblGrid>
        <w:gridCol w:w="1433"/>
        <w:gridCol w:w="3150"/>
        <w:gridCol w:w="3150"/>
      </w:tblGrid>
      <w:tr w:rsidR="00FA05AF" w:rsidRPr="004D1DF8" w:rsidTr="005C59C3">
        <w:tc>
          <w:tcPr>
            <w:tcW w:w="0" w:type="auto"/>
            <w:tcBorders>
              <w:top w:val="single" w:sz="6" w:space="0" w:color="000000"/>
              <w:left w:val="single" w:sz="6" w:space="0" w:color="000000"/>
              <w:bottom w:val="single" w:sz="6" w:space="0" w:color="000000"/>
              <w:right w:val="single" w:sz="6" w:space="0" w:color="000000"/>
            </w:tcBorders>
            <w:vAlign w:val="center"/>
            <w:hideMark/>
          </w:tcPr>
          <w:p w:rsidR="00FA05AF" w:rsidRPr="004D1DF8" w:rsidRDefault="00FA05AF" w:rsidP="005C59C3">
            <w:pPr>
              <w:spacing w:before="100" w:beforeAutospacing="1" w:after="1"/>
              <w:jc w:val="center"/>
              <w:rPr>
                <w:rFonts w:ascii="Arial" w:eastAsia="Times New Roman" w:hAnsi="Arial" w:cs="Arial"/>
                <w:b/>
                <w:color w:val="222222"/>
              </w:rPr>
            </w:pPr>
            <w:r w:rsidRPr="004D1DF8">
              <w:rPr>
                <w:rFonts w:ascii="Book Antiqua" w:eastAsia="Times New Roman" w:hAnsi="Book Antiqua" w:cs="Arial"/>
                <w:b/>
                <w:bCs/>
                <w:color w:val="222222"/>
              </w:rPr>
              <w:t>Reporting Period</w:t>
            </w:r>
          </w:p>
        </w:tc>
        <w:tc>
          <w:tcPr>
            <w:tcW w:w="2037" w:type="pct"/>
            <w:tcBorders>
              <w:top w:val="single" w:sz="6" w:space="0" w:color="000000"/>
              <w:left w:val="single" w:sz="6" w:space="0" w:color="000000"/>
              <w:bottom w:val="single" w:sz="6" w:space="0" w:color="000000"/>
              <w:right w:val="single" w:sz="6" w:space="0" w:color="000000"/>
            </w:tcBorders>
            <w:vAlign w:val="center"/>
            <w:hideMark/>
          </w:tcPr>
          <w:p w:rsidR="00FA05AF" w:rsidRPr="004D1DF8" w:rsidRDefault="00FA05AF" w:rsidP="005C59C3">
            <w:pPr>
              <w:spacing w:before="100" w:beforeAutospacing="1" w:after="1"/>
              <w:jc w:val="center"/>
              <w:rPr>
                <w:rFonts w:ascii="Arial" w:eastAsia="Times New Roman" w:hAnsi="Arial" w:cs="Arial"/>
                <w:b/>
                <w:color w:val="222222"/>
              </w:rPr>
            </w:pPr>
            <w:r w:rsidRPr="004D1DF8">
              <w:rPr>
                <w:rFonts w:ascii="Book Antiqua" w:eastAsia="Times New Roman" w:hAnsi="Book Antiqua" w:cs="Arial"/>
                <w:b/>
                <w:bCs/>
                <w:color w:val="222222"/>
              </w:rPr>
              <w:t xml:space="preserve"># Taking the Exam </w:t>
            </w:r>
          </w:p>
        </w:tc>
        <w:tc>
          <w:tcPr>
            <w:tcW w:w="2037" w:type="pct"/>
            <w:tcBorders>
              <w:top w:val="single" w:sz="6" w:space="0" w:color="000000"/>
              <w:left w:val="single" w:sz="6" w:space="0" w:color="000000"/>
              <w:bottom w:val="single" w:sz="6" w:space="0" w:color="000000"/>
              <w:right w:val="single" w:sz="6" w:space="0" w:color="000000"/>
            </w:tcBorders>
          </w:tcPr>
          <w:p w:rsidR="00FA05AF" w:rsidRPr="004D1DF8" w:rsidRDefault="00FA05AF" w:rsidP="005C59C3">
            <w:pPr>
              <w:spacing w:before="100" w:beforeAutospacing="1" w:after="1"/>
              <w:jc w:val="center"/>
              <w:rPr>
                <w:rFonts w:ascii="Book Antiqua" w:eastAsia="Times New Roman" w:hAnsi="Book Antiqua" w:cs="Arial"/>
                <w:b/>
                <w:bCs/>
                <w:color w:val="222222"/>
              </w:rPr>
            </w:pPr>
            <w:r w:rsidRPr="004D1DF8">
              <w:rPr>
                <w:rFonts w:ascii="Book Antiqua" w:eastAsia="Times New Roman" w:hAnsi="Book Antiqua" w:cs="Arial"/>
                <w:b/>
                <w:bCs/>
                <w:color w:val="222222"/>
              </w:rPr>
              <w:t>% Passed Exam Rate</w:t>
            </w:r>
          </w:p>
        </w:tc>
      </w:tr>
      <w:tr w:rsidR="00FA05AF" w:rsidRPr="004D1DF8" w:rsidTr="005C59C3">
        <w:tc>
          <w:tcPr>
            <w:tcW w:w="0" w:type="auto"/>
            <w:tcBorders>
              <w:top w:val="single" w:sz="6" w:space="0" w:color="000000"/>
              <w:left w:val="single" w:sz="6" w:space="0" w:color="000000"/>
              <w:bottom w:val="single" w:sz="6" w:space="0" w:color="000000"/>
              <w:right w:val="single" w:sz="6" w:space="0" w:color="000000"/>
            </w:tcBorders>
            <w:vAlign w:val="center"/>
          </w:tcPr>
          <w:p w:rsidR="00FA05AF" w:rsidRDefault="00FA05AF" w:rsidP="005C59C3">
            <w:pPr>
              <w:spacing w:before="100" w:beforeAutospacing="1" w:after="1"/>
              <w:jc w:val="center"/>
              <w:rPr>
                <w:rFonts w:ascii="Georgia" w:eastAsia="Times New Roman" w:hAnsi="Georgia" w:cs="Arial"/>
                <w:color w:val="222222"/>
              </w:rPr>
            </w:pPr>
            <w:r>
              <w:rPr>
                <w:rFonts w:ascii="Georgia" w:eastAsia="Times New Roman" w:hAnsi="Georgia" w:cs="Arial"/>
                <w:color w:val="222222"/>
              </w:rPr>
              <w:t>Sept 2018-Aug 2019</w:t>
            </w:r>
          </w:p>
        </w:tc>
        <w:tc>
          <w:tcPr>
            <w:tcW w:w="2037" w:type="pct"/>
            <w:tcBorders>
              <w:top w:val="single" w:sz="6" w:space="0" w:color="000000"/>
              <w:left w:val="single" w:sz="6" w:space="0" w:color="000000"/>
              <w:bottom w:val="single" w:sz="6" w:space="0" w:color="000000"/>
              <w:right w:val="single" w:sz="6" w:space="0" w:color="000000"/>
            </w:tcBorders>
            <w:vAlign w:val="center"/>
          </w:tcPr>
          <w:p w:rsidR="00FA05AF" w:rsidRDefault="004F0FAB" w:rsidP="005C59C3">
            <w:pPr>
              <w:spacing w:before="100" w:beforeAutospacing="1" w:after="1"/>
              <w:jc w:val="center"/>
              <w:rPr>
                <w:rFonts w:ascii="Georgia" w:eastAsia="Times New Roman" w:hAnsi="Georgia" w:cs="Arial"/>
                <w:color w:val="222222"/>
              </w:rPr>
            </w:pPr>
            <w:r>
              <w:rPr>
                <w:rFonts w:ascii="Georgia" w:eastAsia="Times New Roman" w:hAnsi="Georgia" w:cs="Arial"/>
                <w:color w:val="222222"/>
              </w:rPr>
              <w:t>32</w:t>
            </w:r>
          </w:p>
        </w:tc>
        <w:tc>
          <w:tcPr>
            <w:tcW w:w="2037" w:type="pct"/>
            <w:tcBorders>
              <w:top w:val="single" w:sz="6" w:space="0" w:color="000000"/>
              <w:left w:val="single" w:sz="6" w:space="0" w:color="000000"/>
              <w:bottom w:val="single" w:sz="6" w:space="0" w:color="000000"/>
              <w:right w:val="single" w:sz="6" w:space="0" w:color="000000"/>
            </w:tcBorders>
          </w:tcPr>
          <w:p w:rsidR="00FA05AF" w:rsidRPr="004D1DF8" w:rsidRDefault="004F0FAB" w:rsidP="005C59C3">
            <w:pPr>
              <w:spacing w:before="100" w:beforeAutospacing="1" w:after="1"/>
              <w:jc w:val="center"/>
              <w:rPr>
                <w:rFonts w:ascii="Georgia" w:eastAsia="Times New Roman" w:hAnsi="Georgia" w:cs="Arial"/>
                <w:color w:val="222222"/>
              </w:rPr>
            </w:pPr>
            <w:r>
              <w:rPr>
                <w:rFonts w:ascii="Georgia" w:eastAsia="Times New Roman" w:hAnsi="Georgia" w:cs="Arial"/>
                <w:color w:val="222222"/>
              </w:rPr>
              <w:t>100</w:t>
            </w:r>
          </w:p>
        </w:tc>
      </w:tr>
      <w:tr w:rsidR="00FA05AF" w:rsidRPr="004D1DF8" w:rsidTr="005C59C3">
        <w:tc>
          <w:tcPr>
            <w:tcW w:w="0" w:type="auto"/>
            <w:tcBorders>
              <w:top w:val="single" w:sz="6" w:space="0" w:color="000000"/>
              <w:left w:val="single" w:sz="6" w:space="0" w:color="000000"/>
              <w:bottom w:val="single" w:sz="6" w:space="0" w:color="000000"/>
              <w:right w:val="single" w:sz="6" w:space="0" w:color="000000"/>
            </w:tcBorders>
            <w:vAlign w:val="center"/>
          </w:tcPr>
          <w:p w:rsidR="00FA05AF" w:rsidRPr="004D1DF8" w:rsidRDefault="00FA05AF" w:rsidP="005C59C3">
            <w:pPr>
              <w:spacing w:before="100" w:beforeAutospacing="1" w:after="1"/>
              <w:jc w:val="center"/>
              <w:rPr>
                <w:rFonts w:ascii="Georgia" w:eastAsia="Times New Roman" w:hAnsi="Georgia" w:cs="Arial"/>
                <w:color w:val="222222"/>
              </w:rPr>
            </w:pPr>
            <w:r>
              <w:rPr>
                <w:rFonts w:ascii="Georgia" w:eastAsia="Times New Roman" w:hAnsi="Georgia" w:cs="Arial"/>
                <w:color w:val="222222"/>
              </w:rPr>
              <w:t>Sept 2017-Aug</w:t>
            </w:r>
            <w:r w:rsidRPr="004D1DF8">
              <w:rPr>
                <w:rFonts w:ascii="Georgia" w:eastAsia="Times New Roman" w:hAnsi="Georgia" w:cs="Arial"/>
                <w:color w:val="222222"/>
              </w:rPr>
              <w:t xml:space="preserve"> 2018</w:t>
            </w:r>
          </w:p>
        </w:tc>
        <w:tc>
          <w:tcPr>
            <w:tcW w:w="2037" w:type="pct"/>
            <w:tcBorders>
              <w:top w:val="single" w:sz="6" w:space="0" w:color="000000"/>
              <w:left w:val="single" w:sz="6" w:space="0" w:color="000000"/>
              <w:bottom w:val="single" w:sz="6" w:space="0" w:color="000000"/>
              <w:right w:val="single" w:sz="6" w:space="0" w:color="000000"/>
            </w:tcBorders>
            <w:vAlign w:val="center"/>
          </w:tcPr>
          <w:p w:rsidR="00FA05AF" w:rsidRPr="004D1DF8" w:rsidRDefault="00FA05AF" w:rsidP="005C59C3">
            <w:pPr>
              <w:spacing w:before="100" w:beforeAutospacing="1" w:after="1"/>
              <w:jc w:val="center"/>
              <w:rPr>
                <w:rFonts w:ascii="Georgia" w:eastAsia="Times New Roman" w:hAnsi="Georgia" w:cs="Arial"/>
                <w:color w:val="222222"/>
              </w:rPr>
            </w:pPr>
            <w:r>
              <w:rPr>
                <w:rFonts w:ascii="Georgia" w:eastAsia="Times New Roman" w:hAnsi="Georgia" w:cs="Arial"/>
                <w:color w:val="222222"/>
              </w:rPr>
              <w:t>20</w:t>
            </w:r>
          </w:p>
        </w:tc>
        <w:tc>
          <w:tcPr>
            <w:tcW w:w="2037" w:type="pct"/>
            <w:tcBorders>
              <w:top w:val="single" w:sz="6" w:space="0" w:color="000000"/>
              <w:left w:val="single" w:sz="6" w:space="0" w:color="000000"/>
              <w:bottom w:val="single" w:sz="6" w:space="0" w:color="000000"/>
              <w:right w:val="single" w:sz="6" w:space="0" w:color="000000"/>
            </w:tcBorders>
          </w:tcPr>
          <w:p w:rsidR="00FA05AF" w:rsidRPr="004D1DF8" w:rsidRDefault="00FA05AF" w:rsidP="005C59C3">
            <w:pPr>
              <w:spacing w:before="100" w:beforeAutospacing="1" w:after="1"/>
              <w:jc w:val="center"/>
              <w:rPr>
                <w:rFonts w:ascii="Georgia" w:eastAsia="Times New Roman" w:hAnsi="Georgia" w:cs="Arial"/>
                <w:color w:val="222222"/>
              </w:rPr>
            </w:pPr>
            <w:r w:rsidRPr="004D1DF8">
              <w:rPr>
                <w:rFonts w:ascii="Georgia" w:eastAsia="Times New Roman" w:hAnsi="Georgia" w:cs="Arial"/>
                <w:color w:val="222222"/>
              </w:rPr>
              <w:t>100</w:t>
            </w:r>
          </w:p>
        </w:tc>
      </w:tr>
      <w:tr w:rsidR="00FA05AF" w:rsidRPr="004D1DF8" w:rsidTr="005C59C3">
        <w:tc>
          <w:tcPr>
            <w:tcW w:w="0" w:type="auto"/>
            <w:tcBorders>
              <w:top w:val="single" w:sz="6" w:space="0" w:color="000000"/>
              <w:left w:val="single" w:sz="6" w:space="0" w:color="000000"/>
              <w:bottom w:val="single" w:sz="6" w:space="0" w:color="000000"/>
              <w:right w:val="single" w:sz="6" w:space="0" w:color="000000"/>
            </w:tcBorders>
            <w:vAlign w:val="center"/>
          </w:tcPr>
          <w:p w:rsidR="00FA05AF" w:rsidRPr="004D1DF8" w:rsidRDefault="00FA05AF" w:rsidP="005C59C3">
            <w:pPr>
              <w:spacing w:before="100" w:beforeAutospacing="1" w:after="1"/>
              <w:jc w:val="center"/>
              <w:rPr>
                <w:rFonts w:ascii="Georgia" w:eastAsia="Times New Roman" w:hAnsi="Georgia" w:cs="Arial"/>
                <w:color w:val="222222"/>
              </w:rPr>
            </w:pPr>
            <w:r w:rsidRPr="004D1DF8">
              <w:rPr>
                <w:rFonts w:ascii="Georgia" w:eastAsia="Times New Roman" w:hAnsi="Georgia" w:cs="Arial"/>
                <w:color w:val="222222"/>
              </w:rPr>
              <w:t>Sept 2016-Aug 2017</w:t>
            </w:r>
          </w:p>
        </w:tc>
        <w:tc>
          <w:tcPr>
            <w:tcW w:w="2037" w:type="pct"/>
            <w:tcBorders>
              <w:top w:val="single" w:sz="6" w:space="0" w:color="000000"/>
              <w:left w:val="single" w:sz="6" w:space="0" w:color="000000"/>
              <w:bottom w:val="single" w:sz="6" w:space="0" w:color="000000"/>
              <w:right w:val="single" w:sz="6" w:space="0" w:color="000000"/>
            </w:tcBorders>
            <w:vAlign w:val="center"/>
          </w:tcPr>
          <w:p w:rsidR="00FA05AF" w:rsidRPr="004D1DF8" w:rsidRDefault="00FA05AF" w:rsidP="005C59C3">
            <w:pPr>
              <w:spacing w:before="100" w:beforeAutospacing="1" w:after="1"/>
              <w:jc w:val="center"/>
              <w:rPr>
                <w:rFonts w:ascii="Georgia" w:eastAsia="Times New Roman" w:hAnsi="Georgia" w:cs="Arial"/>
                <w:color w:val="222222"/>
              </w:rPr>
            </w:pPr>
            <w:r w:rsidRPr="004D1DF8">
              <w:rPr>
                <w:rFonts w:ascii="Georgia" w:eastAsia="Times New Roman" w:hAnsi="Georgia" w:cs="Arial"/>
                <w:color w:val="222222"/>
              </w:rPr>
              <w:t>25</w:t>
            </w:r>
          </w:p>
        </w:tc>
        <w:tc>
          <w:tcPr>
            <w:tcW w:w="2037" w:type="pct"/>
            <w:tcBorders>
              <w:top w:val="single" w:sz="6" w:space="0" w:color="000000"/>
              <w:left w:val="single" w:sz="6" w:space="0" w:color="000000"/>
              <w:bottom w:val="single" w:sz="6" w:space="0" w:color="000000"/>
              <w:right w:val="single" w:sz="6" w:space="0" w:color="000000"/>
            </w:tcBorders>
          </w:tcPr>
          <w:p w:rsidR="00FA05AF" w:rsidRPr="004D1DF8" w:rsidRDefault="00FA05AF" w:rsidP="005C59C3">
            <w:pPr>
              <w:spacing w:before="100" w:beforeAutospacing="1" w:after="1"/>
              <w:jc w:val="center"/>
              <w:rPr>
                <w:rFonts w:ascii="Georgia" w:eastAsia="Times New Roman" w:hAnsi="Georgia" w:cs="Arial"/>
                <w:color w:val="222222"/>
              </w:rPr>
            </w:pPr>
            <w:r w:rsidRPr="004D1DF8">
              <w:rPr>
                <w:rFonts w:ascii="Georgia" w:eastAsia="Times New Roman" w:hAnsi="Georgia" w:cs="Arial"/>
                <w:color w:val="222222"/>
              </w:rPr>
              <w:t>96</w:t>
            </w:r>
          </w:p>
        </w:tc>
      </w:tr>
    </w:tbl>
    <w:p w:rsidR="00FA05AF" w:rsidRPr="004D1DF8" w:rsidRDefault="00FA05AF" w:rsidP="00FA05AF">
      <w:pPr>
        <w:rPr>
          <w:rFonts w:ascii="Times New Roman" w:hAnsi="Times New Roman" w:cs="Times New Roman"/>
        </w:rPr>
      </w:pPr>
    </w:p>
    <w:p w:rsidR="00B76047" w:rsidRDefault="00B76047" w:rsidP="00FA05AF">
      <w:pPr>
        <w:rPr>
          <w:rFonts w:ascii="Times New Roman" w:hAnsi="Times New Roman" w:cs="Times New Roman"/>
          <w:b/>
        </w:rPr>
      </w:pPr>
    </w:p>
    <w:p w:rsidR="00B76047" w:rsidRDefault="00B76047" w:rsidP="00FA05AF">
      <w:pPr>
        <w:rPr>
          <w:rFonts w:ascii="Times New Roman" w:hAnsi="Times New Roman" w:cs="Times New Roman"/>
          <w:b/>
        </w:rPr>
      </w:pPr>
    </w:p>
    <w:p w:rsidR="00B76047" w:rsidRDefault="00B76047" w:rsidP="00FA05AF">
      <w:pPr>
        <w:rPr>
          <w:rFonts w:ascii="Times New Roman" w:hAnsi="Times New Roman" w:cs="Times New Roman"/>
          <w:b/>
        </w:rPr>
      </w:pPr>
    </w:p>
    <w:p w:rsidR="00B76047" w:rsidRDefault="00B76047" w:rsidP="00FA05AF">
      <w:pPr>
        <w:rPr>
          <w:rFonts w:ascii="Times New Roman" w:hAnsi="Times New Roman" w:cs="Times New Roman"/>
          <w:b/>
        </w:rPr>
      </w:pPr>
    </w:p>
    <w:p w:rsidR="00B76047" w:rsidRDefault="00B76047" w:rsidP="00FA05AF">
      <w:pPr>
        <w:rPr>
          <w:rFonts w:ascii="Times New Roman" w:hAnsi="Times New Roman" w:cs="Times New Roman"/>
          <w:b/>
        </w:rPr>
      </w:pPr>
    </w:p>
    <w:p w:rsidR="00B76047" w:rsidRDefault="00B76047" w:rsidP="00FA05AF">
      <w:pPr>
        <w:rPr>
          <w:rFonts w:ascii="Times New Roman" w:hAnsi="Times New Roman" w:cs="Times New Roman"/>
          <w:b/>
        </w:rPr>
      </w:pPr>
    </w:p>
    <w:p w:rsidR="00B76047" w:rsidRDefault="00B76047" w:rsidP="00FA05AF">
      <w:pPr>
        <w:rPr>
          <w:rFonts w:ascii="Times New Roman" w:hAnsi="Times New Roman" w:cs="Times New Roman"/>
          <w:b/>
        </w:rPr>
      </w:pPr>
    </w:p>
    <w:p w:rsidR="00B76047" w:rsidRDefault="00B76047" w:rsidP="00FA05AF">
      <w:pPr>
        <w:rPr>
          <w:rFonts w:ascii="Times New Roman" w:hAnsi="Times New Roman" w:cs="Times New Roman"/>
          <w:b/>
        </w:rPr>
      </w:pPr>
    </w:p>
    <w:p w:rsidR="00FA05AF" w:rsidRPr="004D1DF8" w:rsidRDefault="00FA05AF" w:rsidP="00FA05AF">
      <w:pPr>
        <w:rPr>
          <w:rFonts w:ascii="Times New Roman" w:hAnsi="Times New Roman" w:cs="Times New Roman"/>
          <w:b/>
        </w:rPr>
      </w:pPr>
      <w:r w:rsidRPr="004D1DF8">
        <w:rPr>
          <w:rFonts w:ascii="Times New Roman" w:hAnsi="Times New Roman" w:cs="Times New Roman"/>
          <w:b/>
        </w:rPr>
        <w:lastRenderedPageBreak/>
        <w:t>Employment Rates of Graduates</w:t>
      </w:r>
    </w:p>
    <w:tbl>
      <w:tblPr>
        <w:tblW w:w="4137" w:type="pct"/>
        <w:tblBorders>
          <w:top w:val="single" w:sz="18" w:space="0" w:color="000000"/>
          <w:left w:val="single" w:sz="18" w:space="0" w:color="000000"/>
          <w:bottom w:val="single" w:sz="18" w:space="0" w:color="000000"/>
          <w:right w:val="single" w:sz="18" w:space="0" w:color="000000"/>
        </w:tblBorders>
        <w:tblCellMar>
          <w:top w:w="75" w:type="dxa"/>
          <w:left w:w="75" w:type="dxa"/>
          <w:bottom w:w="75" w:type="dxa"/>
          <w:right w:w="75" w:type="dxa"/>
        </w:tblCellMar>
        <w:tblLook w:val="04A0" w:firstRow="1" w:lastRow="0" w:firstColumn="1" w:lastColumn="0" w:noHBand="0" w:noVBand="1"/>
      </w:tblPr>
      <w:tblGrid>
        <w:gridCol w:w="1523"/>
        <w:gridCol w:w="3058"/>
        <w:gridCol w:w="3150"/>
      </w:tblGrid>
      <w:tr w:rsidR="00FA05AF" w:rsidRPr="004D1DF8" w:rsidTr="005C59C3">
        <w:tc>
          <w:tcPr>
            <w:tcW w:w="985" w:type="pct"/>
            <w:tcBorders>
              <w:top w:val="single" w:sz="6" w:space="0" w:color="000000"/>
              <w:left w:val="single" w:sz="6" w:space="0" w:color="000000"/>
              <w:bottom w:val="single" w:sz="6" w:space="0" w:color="000000"/>
              <w:right w:val="single" w:sz="6" w:space="0" w:color="000000"/>
            </w:tcBorders>
            <w:vAlign w:val="center"/>
            <w:hideMark/>
          </w:tcPr>
          <w:p w:rsidR="00FA05AF" w:rsidRPr="004D1DF8" w:rsidRDefault="00FA05AF" w:rsidP="005C59C3">
            <w:pPr>
              <w:spacing w:before="100" w:beforeAutospacing="1" w:after="1"/>
              <w:jc w:val="center"/>
              <w:rPr>
                <w:rFonts w:ascii="Arial" w:eastAsia="Times New Roman" w:hAnsi="Arial" w:cs="Arial"/>
                <w:color w:val="222222"/>
              </w:rPr>
            </w:pPr>
            <w:r w:rsidRPr="004D1DF8">
              <w:rPr>
                <w:rFonts w:ascii="Book Antiqua" w:eastAsia="Times New Roman" w:hAnsi="Book Antiqua" w:cs="Arial"/>
                <w:bCs/>
                <w:color w:val="222222"/>
              </w:rPr>
              <w:t>Reporting Period</w:t>
            </w:r>
          </w:p>
        </w:tc>
        <w:tc>
          <w:tcPr>
            <w:tcW w:w="1978" w:type="pct"/>
            <w:tcBorders>
              <w:top w:val="single" w:sz="6" w:space="0" w:color="000000"/>
              <w:left w:val="single" w:sz="6" w:space="0" w:color="000000"/>
              <w:bottom w:val="single" w:sz="6" w:space="0" w:color="000000"/>
              <w:right w:val="single" w:sz="6" w:space="0" w:color="000000"/>
            </w:tcBorders>
            <w:vAlign w:val="center"/>
            <w:hideMark/>
          </w:tcPr>
          <w:p w:rsidR="00FA05AF" w:rsidRPr="004D1DF8" w:rsidRDefault="00FA05AF" w:rsidP="005C59C3">
            <w:pPr>
              <w:spacing w:before="100" w:beforeAutospacing="1" w:after="1"/>
              <w:jc w:val="center"/>
              <w:rPr>
                <w:rFonts w:ascii="Book Antiqua" w:eastAsia="Times New Roman" w:hAnsi="Book Antiqua" w:cs="Arial"/>
                <w:bCs/>
                <w:color w:val="222222"/>
              </w:rPr>
            </w:pPr>
            <w:r w:rsidRPr="004D1DF8">
              <w:rPr>
                <w:rFonts w:ascii="Book Antiqua" w:eastAsia="Times New Roman" w:hAnsi="Book Antiqua" w:cs="Arial"/>
                <w:bCs/>
                <w:color w:val="222222"/>
              </w:rPr>
              <w:t>Employment Rate in Profession</w:t>
            </w:r>
          </w:p>
          <w:p w:rsidR="00FA05AF" w:rsidRPr="004D1DF8" w:rsidRDefault="00FA05AF" w:rsidP="005C59C3">
            <w:pPr>
              <w:spacing w:before="100" w:beforeAutospacing="1" w:after="1"/>
              <w:jc w:val="center"/>
              <w:rPr>
                <w:rFonts w:ascii="Arial" w:eastAsia="Times New Roman" w:hAnsi="Arial" w:cs="Arial"/>
                <w:color w:val="222222"/>
              </w:rPr>
            </w:pPr>
            <w:r w:rsidRPr="004D1DF8">
              <w:rPr>
                <w:rFonts w:ascii="Book Antiqua" w:eastAsia="Times New Roman" w:hAnsi="Book Antiqua" w:cs="Arial"/>
                <w:bCs/>
                <w:color w:val="222222"/>
              </w:rPr>
              <w:t># of Graduates from prior year</w:t>
            </w:r>
          </w:p>
        </w:tc>
        <w:tc>
          <w:tcPr>
            <w:tcW w:w="2037" w:type="pct"/>
            <w:tcBorders>
              <w:top w:val="single" w:sz="6" w:space="0" w:color="000000"/>
              <w:left w:val="single" w:sz="6" w:space="0" w:color="000000"/>
              <w:bottom w:val="single" w:sz="6" w:space="0" w:color="000000"/>
              <w:right w:val="single" w:sz="6" w:space="0" w:color="000000"/>
            </w:tcBorders>
          </w:tcPr>
          <w:p w:rsidR="00FA05AF" w:rsidRPr="004D1DF8" w:rsidRDefault="00FA05AF" w:rsidP="005C59C3">
            <w:pPr>
              <w:spacing w:before="100" w:beforeAutospacing="1" w:after="1"/>
              <w:jc w:val="center"/>
              <w:rPr>
                <w:rFonts w:ascii="Book Antiqua" w:eastAsia="Times New Roman" w:hAnsi="Book Antiqua" w:cs="Arial"/>
                <w:bCs/>
                <w:color w:val="222222"/>
              </w:rPr>
            </w:pPr>
          </w:p>
          <w:p w:rsidR="00FA05AF" w:rsidRPr="004D1DF8" w:rsidRDefault="00FA05AF" w:rsidP="005C59C3">
            <w:pPr>
              <w:spacing w:before="100" w:beforeAutospacing="1" w:after="1"/>
              <w:jc w:val="center"/>
              <w:rPr>
                <w:rFonts w:ascii="Book Antiqua" w:eastAsia="Times New Roman" w:hAnsi="Book Antiqua" w:cs="Arial"/>
                <w:bCs/>
                <w:color w:val="222222"/>
              </w:rPr>
            </w:pPr>
            <w:r w:rsidRPr="004D1DF8">
              <w:rPr>
                <w:rFonts w:ascii="Book Antiqua" w:eastAsia="Times New Roman" w:hAnsi="Book Antiqua" w:cs="Arial"/>
                <w:bCs/>
                <w:color w:val="222222"/>
              </w:rPr>
              <w:t>% of Graduates from prior year</w:t>
            </w:r>
          </w:p>
        </w:tc>
      </w:tr>
      <w:tr w:rsidR="00FA05AF" w:rsidRPr="004D1DF8" w:rsidTr="005C59C3">
        <w:tc>
          <w:tcPr>
            <w:tcW w:w="985" w:type="pct"/>
            <w:tcBorders>
              <w:top w:val="single" w:sz="6" w:space="0" w:color="000000"/>
              <w:left w:val="single" w:sz="6" w:space="0" w:color="000000"/>
              <w:bottom w:val="single" w:sz="6" w:space="0" w:color="000000"/>
              <w:right w:val="single" w:sz="6" w:space="0" w:color="000000"/>
            </w:tcBorders>
            <w:vAlign w:val="center"/>
          </w:tcPr>
          <w:p w:rsidR="00FA05AF" w:rsidRPr="004D1DF8" w:rsidRDefault="00FA05AF" w:rsidP="005C59C3">
            <w:pPr>
              <w:spacing w:before="100" w:beforeAutospacing="1" w:after="1"/>
              <w:jc w:val="center"/>
              <w:rPr>
                <w:rFonts w:ascii="Georgia" w:eastAsia="Times New Roman" w:hAnsi="Georgia" w:cs="Arial"/>
                <w:color w:val="222222"/>
              </w:rPr>
            </w:pPr>
            <w:r>
              <w:rPr>
                <w:rFonts w:ascii="Georgia" w:eastAsia="Times New Roman" w:hAnsi="Georgia" w:cs="Arial"/>
                <w:color w:val="222222"/>
              </w:rPr>
              <w:t>2018-2019</w:t>
            </w:r>
          </w:p>
        </w:tc>
        <w:tc>
          <w:tcPr>
            <w:tcW w:w="1978" w:type="pct"/>
            <w:tcBorders>
              <w:top w:val="single" w:sz="6" w:space="0" w:color="000000"/>
              <w:left w:val="single" w:sz="6" w:space="0" w:color="000000"/>
              <w:bottom w:val="single" w:sz="6" w:space="0" w:color="000000"/>
              <w:right w:val="single" w:sz="6" w:space="0" w:color="000000"/>
            </w:tcBorders>
            <w:vAlign w:val="center"/>
          </w:tcPr>
          <w:p w:rsidR="00FA05AF" w:rsidRPr="004D1DF8" w:rsidRDefault="00FA05AF" w:rsidP="005C59C3">
            <w:pPr>
              <w:spacing w:before="100" w:beforeAutospacing="1" w:after="1"/>
              <w:jc w:val="center"/>
              <w:rPr>
                <w:rFonts w:ascii="Georgia" w:eastAsia="Times New Roman" w:hAnsi="Georgia" w:cs="Arial"/>
                <w:color w:val="222222"/>
              </w:rPr>
            </w:pPr>
            <w:r>
              <w:rPr>
                <w:rFonts w:ascii="Georgia" w:eastAsia="Times New Roman" w:hAnsi="Georgia" w:cs="Arial"/>
                <w:color w:val="222222"/>
              </w:rPr>
              <w:t>23</w:t>
            </w:r>
          </w:p>
        </w:tc>
        <w:tc>
          <w:tcPr>
            <w:tcW w:w="2037" w:type="pct"/>
            <w:tcBorders>
              <w:top w:val="single" w:sz="6" w:space="0" w:color="000000"/>
              <w:left w:val="single" w:sz="6" w:space="0" w:color="000000"/>
              <w:bottom w:val="single" w:sz="6" w:space="0" w:color="000000"/>
              <w:right w:val="single" w:sz="6" w:space="0" w:color="000000"/>
            </w:tcBorders>
          </w:tcPr>
          <w:p w:rsidR="00FA05AF" w:rsidRPr="004D1DF8" w:rsidRDefault="00FA05AF" w:rsidP="005C59C3">
            <w:pPr>
              <w:spacing w:before="100" w:beforeAutospacing="1" w:after="1"/>
              <w:jc w:val="center"/>
              <w:rPr>
                <w:rFonts w:ascii="Georgia" w:eastAsia="Times New Roman" w:hAnsi="Georgia" w:cs="Arial"/>
                <w:color w:val="222222"/>
              </w:rPr>
            </w:pPr>
            <w:r>
              <w:rPr>
                <w:rFonts w:ascii="Georgia" w:eastAsia="Times New Roman" w:hAnsi="Georgia" w:cs="Arial"/>
                <w:color w:val="222222"/>
              </w:rPr>
              <w:t>100</w:t>
            </w:r>
          </w:p>
        </w:tc>
      </w:tr>
      <w:tr w:rsidR="00FA05AF" w:rsidRPr="004D1DF8" w:rsidTr="005C59C3">
        <w:tc>
          <w:tcPr>
            <w:tcW w:w="985" w:type="pct"/>
            <w:tcBorders>
              <w:top w:val="single" w:sz="6" w:space="0" w:color="000000"/>
              <w:left w:val="single" w:sz="6" w:space="0" w:color="000000"/>
              <w:bottom w:val="single" w:sz="6" w:space="0" w:color="000000"/>
              <w:right w:val="single" w:sz="6" w:space="0" w:color="000000"/>
            </w:tcBorders>
            <w:vAlign w:val="center"/>
          </w:tcPr>
          <w:p w:rsidR="00FA05AF" w:rsidRPr="004D1DF8" w:rsidRDefault="00FA05AF" w:rsidP="005C59C3">
            <w:pPr>
              <w:spacing w:before="100" w:beforeAutospacing="1" w:after="1"/>
              <w:jc w:val="center"/>
              <w:rPr>
                <w:rFonts w:ascii="Georgia" w:eastAsia="Times New Roman" w:hAnsi="Georgia" w:cs="Arial"/>
                <w:color w:val="222222"/>
              </w:rPr>
            </w:pPr>
            <w:r w:rsidRPr="004D1DF8">
              <w:rPr>
                <w:rFonts w:ascii="Georgia" w:eastAsia="Times New Roman" w:hAnsi="Georgia" w:cs="Arial"/>
                <w:color w:val="222222"/>
              </w:rPr>
              <w:t>2017-2018</w:t>
            </w:r>
          </w:p>
        </w:tc>
        <w:tc>
          <w:tcPr>
            <w:tcW w:w="1978" w:type="pct"/>
            <w:tcBorders>
              <w:top w:val="single" w:sz="6" w:space="0" w:color="000000"/>
              <w:left w:val="single" w:sz="6" w:space="0" w:color="000000"/>
              <w:bottom w:val="single" w:sz="6" w:space="0" w:color="000000"/>
              <w:right w:val="single" w:sz="6" w:space="0" w:color="000000"/>
            </w:tcBorders>
            <w:vAlign w:val="center"/>
          </w:tcPr>
          <w:p w:rsidR="00FA05AF" w:rsidRPr="004D1DF8" w:rsidRDefault="00FA05AF" w:rsidP="005C59C3">
            <w:pPr>
              <w:spacing w:before="100" w:beforeAutospacing="1" w:after="1"/>
              <w:jc w:val="center"/>
              <w:rPr>
                <w:rFonts w:ascii="Georgia" w:eastAsia="Times New Roman" w:hAnsi="Georgia" w:cs="Arial"/>
                <w:color w:val="222222"/>
              </w:rPr>
            </w:pPr>
            <w:r w:rsidRPr="004D1DF8">
              <w:rPr>
                <w:rFonts w:ascii="Georgia" w:eastAsia="Times New Roman" w:hAnsi="Georgia" w:cs="Arial"/>
                <w:color w:val="222222"/>
              </w:rPr>
              <w:t>29</w:t>
            </w:r>
          </w:p>
        </w:tc>
        <w:tc>
          <w:tcPr>
            <w:tcW w:w="2037" w:type="pct"/>
            <w:tcBorders>
              <w:top w:val="single" w:sz="6" w:space="0" w:color="000000"/>
              <w:left w:val="single" w:sz="6" w:space="0" w:color="000000"/>
              <w:bottom w:val="single" w:sz="6" w:space="0" w:color="000000"/>
              <w:right w:val="single" w:sz="6" w:space="0" w:color="000000"/>
            </w:tcBorders>
          </w:tcPr>
          <w:p w:rsidR="00FA05AF" w:rsidRPr="004D1DF8" w:rsidRDefault="00FA05AF" w:rsidP="005C59C3">
            <w:pPr>
              <w:spacing w:before="100" w:beforeAutospacing="1" w:after="1"/>
              <w:jc w:val="center"/>
              <w:rPr>
                <w:rFonts w:ascii="Georgia" w:eastAsia="Times New Roman" w:hAnsi="Georgia" w:cs="Arial"/>
                <w:color w:val="222222"/>
              </w:rPr>
            </w:pPr>
            <w:r w:rsidRPr="004D1DF8">
              <w:rPr>
                <w:rFonts w:ascii="Georgia" w:eastAsia="Times New Roman" w:hAnsi="Georgia" w:cs="Arial"/>
                <w:color w:val="222222"/>
              </w:rPr>
              <w:t>100</w:t>
            </w:r>
          </w:p>
        </w:tc>
      </w:tr>
      <w:tr w:rsidR="00FA05AF" w:rsidRPr="004D1DF8" w:rsidTr="005C59C3">
        <w:tc>
          <w:tcPr>
            <w:tcW w:w="985" w:type="pct"/>
            <w:tcBorders>
              <w:top w:val="single" w:sz="6" w:space="0" w:color="000000"/>
              <w:left w:val="single" w:sz="6" w:space="0" w:color="000000"/>
              <w:bottom w:val="single" w:sz="6" w:space="0" w:color="000000"/>
              <w:right w:val="single" w:sz="6" w:space="0" w:color="000000"/>
            </w:tcBorders>
            <w:vAlign w:val="center"/>
          </w:tcPr>
          <w:p w:rsidR="00FA05AF" w:rsidRPr="004D1DF8" w:rsidRDefault="00FA05AF" w:rsidP="005C59C3">
            <w:pPr>
              <w:spacing w:before="100" w:beforeAutospacing="1" w:after="1"/>
              <w:jc w:val="center"/>
              <w:rPr>
                <w:rFonts w:ascii="Georgia" w:eastAsia="Times New Roman" w:hAnsi="Georgia" w:cs="Arial"/>
                <w:color w:val="222222"/>
              </w:rPr>
            </w:pPr>
            <w:r w:rsidRPr="004D1DF8">
              <w:rPr>
                <w:rFonts w:ascii="Georgia" w:eastAsia="Times New Roman" w:hAnsi="Georgia" w:cs="Arial"/>
                <w:color w:val="222222"/>
              </w:rPr>
              <w:t>2016-2017</w:t>
            </w:r>
          </w:p>
        </w:tc>
        <w:tc>
          <w:tcPr>
            <w:tcW w:w="1978" w:type="pct"/>
            <w:tcBorders>
              <w:top w:val="single" w:sz="6" w:space="0" w:color="000000"/>
              <w:left w:val="single" w:sz="6" w:space="0" w:color="000000"/>
              <w:bottom w:val="single" w:sz="6" w:space="0" w:color="000000"/>
              <w:right w:val="single" w:sz="6" w:space="0" w:color="000000"/>
            </w:tcBorders>
            <w:vAlign w:val="center"/>
          </w:tcPr>
          <w:p w:rsidR="00FA05AF" w:rsidRPr="004D1DF8" w:rsidRDefault="00FA05AF" w:rsidP="005C59C3">
            <w:pPr>
              <w:spacing w:before="100" w:beforeAutospacing="1" w:after="1"/>
              <w:jc w:val="center"/>
              <w:rPr>
                <w:rFonts w:ascii="Georgia" w:eastAsia="Times New Roman" w:hAnsi="Georgia" w:cs="Arial"/>
                <w:color w:val="222222"/>
              </w:rPr>
            </w:pPr>
            <w:r w:rsidRPr="004D1DF8">
              <w:rPr>
                <w:rFonts w:ascii="Georgia" w:eastAsia="Times New Roman" w:hAnsi="Georgia" w:cs="Arial"/>
                <w:color w:val="222222"/>
              </w:rPr>
              <w:t>25</w:t>
            </w:r>
          </w:p>
        </w:tc>
        <w:tc>
          <w:tcPr>
            <w:tcW w:w="2037" w:type="pct"/>
            <w:tcBorders>
              <w:top w:val="single" w:sz="6" w:space="0" w:color="000000"/>
              <w:left w:val="single" w:sz="6" w:space="0" w:color="000000"/>
              <w:bottom w:val="single" w:sz="6" w:space="0" w:color="000000"/>
              <w:right w:val="single" w:sz="6" w:space="0" w:color="000000"/>
            </w:tcBorders>
          </w:tcPr>
          <w:p w:rsidR="00FA05AF" w:rsidRPr="004D1DF8" w:rsidRDefault="00FA05AF" w:rsidP="005C59C3">
            <w:pPr>
              <w:spacing w:before="100" w:beforeAutospacing="1" w:after="1"/>
              <w:jc w:val="center"/>
              <w:rPr>
                <w:rFonts w:ascii="Georgia" w:eastAsia="Times New Roman" w:hAnsi="Georgia" w:cs="Arial"/>
                <w:color w:val="222222"/>
              </w:rPr>
            </w:pPr>
            <w:r w:rsidRPr="004D1DF8">
              <w:rPr>
                <w:rFonts w:ascii="Georgia" w:eastAsia="Times New Roman" w:hAnsi="Georgia" w:cs="Arial"/>
                <w:color w:val="222222"/>
              </w:rPr>
              <w:t>100</w:t>
            </w:r>
          </w:p>
        </w:tc>
      </w:tr>
    </w:tbl>
    <w:p w:rsidR="00634B0B" w:rsidRPr="000F489A" w:rsidRDefault="00634B0B" w:rsidP="000F489A">
      <w:pPr>
        <w:spacing w:line="276" w:lineRule="auto"/>
        <w:rPr>
          <w:rFonts w:cstheme="minorHAnsi"/>
          <w:b/>
          <w:bCs/>
          <w:sz w:val="32"/>
          <w:szCs w:val="32"/>
        </w:rPr>
      </w:pPr>
    </w:p>
    <w:p w:rsidR="00634B0B" w:rsidRPr="000F489A" w:rsidRDefault="00634B0B" w:rsidP="000F489A">
      <w:pPr>
        <w:spacing w:line="276" w:lineRule="auto"/>
        <w:rPr>
          <w:rFonts w:cstheme="minorHAnsi"/>
          <w:b/>
          <w:bCs/>
          <w:sz w:val="32"/>
          <w:szCs w:val="32"/>
        </w:rPr>
      </w:pPr>
      <w:r w:rsidRPr="000F489A">
        <w:rPr>
          <w:rFonts w:cstheme="minorHAnsi"/>
          <w:b/>
          <w:bCs/>
          <w:sz w:val="32"/>
          <w:szCs w:val="32"/>
        </w:rPr>
        <w:t>GOAL 2</w:t>
      </w:r>
    </w:p>
    <w:p w:rsidR="00634B0B" w:rsidRPr="000F489A" w:rsidRDefault="001D5098" w:rsidP="000F489A">
      <w:pPr>
        <w:spacing w:line="276" w:lineRule="auto"/>
        <w:ind w:left="1080"/>
        <w:rPr>
          <w:rFonts w:cstheme="minorHAnsi"/>
          <w:b/>
          <w:sz w:val="28"/>
          <w:szCs w:val="28"/>
        </w:rPr>
      </w:pPr>
      <w:r>
        <w:rPr>
          <w:rFonts w:cstheme="minorHAnsi"/>
          <w:b/>
          <w:sz w:val="28"/>
          <w:szCs w:val="28"/>
        </w:rPr>
        <w:t xml:space="preserve">Provide </w:t>
      </w:r>
      <w:r w:rsidR="00634B0B" w:rsidRPr="000F489A">
        <w:rPr>
          <w:rFonts w:cstheme="minorHAnsi"/>
          <w:b/>
          <w:sz w:val="28"/>
          <w:szCs w:val="28"/>
        </w:rPr>
        <w:t xml:space="preserve">high-quality </w:t>
      </w:r>
      <w:r w:rsidR="00DA7515">
        <w:rPr>
          <w:rFonts w:cstheme="minorHAnsi"/>
          <w:b/>
          <w:sz w:val="28"/>
          <w:szCs w:val="28"/>
        </w:rPr>
        <w:t>clinical training with an emphasis on cultural/linguistic diversity and ethical practices.</w:t>
      </w:r>
    </w:p>
    <w:p w:rsidR="00634B0B" w:rsidRPr="000F489A" w:rsidRDefault="00634B0B" w:rsidP="000F489A">
      <w:pPr>
        <w:spacing w:line="276" w:lineRule="auto"/>
        <w:rPr>
          <w:rFonts w:cstheme="minorHAnsi"/>
        </w:rPr>
      </w:pPr>
    </w:p>
    <w:p w:rsidR="00015FE1" w:rsidRDefault="00015FE1" w:rsidP="000F489A">
      <w:pPr>
        <w:spacing w:line="276" w:lineRule="auto"/>
        <w:rPr>
          <w:rFonts w:cstheme="minorHAnsi"/>
          <w:bCs/>
        </w:rPr>
      </w:pPr>
      <w:r>
        <w:rPr>
          <w:rFonts w:cstheme="minorHAnsi"/>
          <w:bCs/>
        </w:rPr>
        <w:t>●To ensure our graduates’ competency in providing care for culturally/linguistically diverse clients, we</w:t>
      </w:r>
      <w:r w:rsidR="003E4484">
        <w:rPr>
          <w:rFonts w:cstheme="minorHAnsi"/>
          <w:bCs/>
        </w:rPr>
        <w:t xml:space="preserve"> require COMD 404, Communicative</w:t>
      </w:r>
      <w:r>
        <w:rPr>
          <w:rFonts w:cstheme="minorHAnsi"/>
          <w:bCs/>
        </w:rPr>
        <w:t xml:space="preserve"> disorders of </w:t>
      </w:r>
      <w:r w:rsidR="003E4484">
        <w:rPr>
          <w:rFonts w:cstheme="minorHAnsi"/>
          <w:bCs/>
        </w:rPr>
        <w:t>the Bilingual/Multicultural child</w:t>
      </w:r>
      <w:r>
        <w:rPr>
          <w:rFonts w:cstheme="minorHAnsi"/>
          <w:bCs/>
        </w:rPr>
        <w:t xml:space="preserve">, as an undergraduate elective and a prerequisite of graduate </w:t>
      </w:r>
      <w:proofErr w:type="spellStart"/>
      <w:r>
        <w:rPr>
          <w:rFonts w:cstheme="minorHAnsi"/>
          <w:bCs/>
        </w:rPr>
        <w:t>practica</w:t>
      </w:r>
      <w:proofErr w:type="spellEnd"/>
      <w:r>
        <w:rPr>
          <w:rFonts w:cstheme="minorHAnsi"/>
          <w:bCs/>
        </w:rPr>
        <w:t xml:space="preserve">. </w:t>
      </w:r>
      <w:r w:rsidR="00A16ADB">
        <w:rPr>
          <w:rFonts w:cstheme="minorHAnsi"/>
          <w:bCs/>
        </w:rPr>
        <w:t xml:space="preserve">Eighteen of the </w:t>
      </w:r>
      <w:r w:rsidR="00DA7515">
        <w:rPr>
          <w:rFonts w:cstheme="minorHAnsi"/>
          <w:bCs/>
        </w:rPr>
        <w:t xml:space="preserve">fall 2018 </w:t>
      </w:r>
      <w:r>
        <w:rPr>
          <w:rFonts w:cstheme="minorHAnsi"/>
          <w:bCs/>
        </w:rPr>
        <w:t xml:space="preserve">graduate </w:t>
      </w:r>
      <w:r w:rsidR="00DA7515">
        <w:rPr>
          <w:rFonts w:cstheme="minorHAnsi"/>
          <w:bCs/>
        </w:rPr>
        <w:t>class took COMD 404</w:t>
      </w:r>
      <w:r w:rsidR="00A16ADB">
        <w:rPr>
          <w:rFonts w:cstheme="minorHAnsi"/>
          <w:bCs/>
        </w:rPr>
        <w:t xml:space="preserve"> as an undergraduate</w:t>
      </w:r>
      <w:r w:rsidR="003E4484">
        <w:rPr>
          <w:rFonts w:cstheme="minorHAnsi"/>
          <w:bCs/>
        </w:rPr>
        <w:t>,</w:t>
      </w:r>
      <w:r w:rsidR="00A16ADB">
        <w:rPr>
          <w:rFonts w:cstheme="minorHAnsi"/>
          <w:bCs/>
        </w:rPr>
        <w:t xml:space="preserve"> and 10 took it in their graduate program. All 28 of </w:t>
      </w:r>
      <w:r w:rsidR="003E4484">
        <w:rPr>
          <w:rFonts w:cstheme="minorHAnsi"/>
          <w:bCs/>
        </w:rPr>
        <w:t xml:space="preserve">the </w:t>
      </w:r>
      <w:r w:rsidR="00A16ADB">
        <w:rPr>
          <w:rFonts w:cstheme="minorHAnsi"/>
          <w:bCs/>
        </w:rPr>
        <w:t xml:space="preserve">fall 2018 class </w:t>
      </w:r>
      <w:proofErr w:type="gramStart"/>
      <w:r w:rsidR="00A16ADB">
        <w:rPr>
          <w:rFonts w:cstheme="minorHAnsi"/>
          <w:bCs/>
        </w:rPr>
        <w:t>are scheduled</w:t>
      </w:r>
      <w:proofErr w:type="gramEnd"/>
      <w:r w:rsidR="00A16ADB">
        <w:rPr>
          <w:rFonts w:cstheme="minorHAnsi"/>
          <w:bCs/>
        </w:rPr>
        <w:t xml:space="preserve"> to take COMD 558C, Clinical Practicum: Multicultural. </w:t>
      </w:r>
    </w:p>
    <w:p w:rsidR="00015FE1" w:rsidRDefault="00015FE1" w:rsidP="000F489A">
      <w:pPr>
        <w:spacing w:line="276" w:lineRule="auto"/>
        <w:rPr>
          <w:rFonts w:cstheme="minorHAnsi"/>
          <w:bCs/>
        </w:rPr>
      </w:pPr>
      <w:r>
        <w:rPr>
          <w:rFonts w:cstheme="minorHAnsi"/>
          <w:bCs/>
        </w:rPr>
        <w:t>●</w:t>
      </w:r>
      <w:r w:rsidR="00A16ADB">
        <w:rPr>
          <w:rFonts w:cstheme="minorHAnsi"/>
          <w:bCs/>
        </w:rPr>
        <w:t xml:space="preserve">One hundred percent of graduate students passed a test on ASHA code of </w:t>
      </w:r>
      <w:r w:rsidR="003E4484">
        <w:rPr>
          <w:rFonts w:cstheme="minorHAnsi"/>
          <w:bCs/>
        </w:rPr>
        <w:t>ethics in COMD 501, Seminar in Speech-language P</w:t>
      </w:r>
      <w:r w:rsidR="00A16ADB">
        <w:rPr>
          <w:rFonts w:cstheme="minorHAnsi"/>
          <w:bCs/>
        </w:rPr>
        <w:t xml:space="preserve">athology. </w:t>
      </w:r>
    </w:p>
    <w:p w:rsidR="00015FE1" w:rsidRDefault="00015FE1" w:rsidP="000F489A">
      <w:pPr>
        <w:spacing w:line="276" w:lineRule="auto"/>
        <w:rPr>
          <w:rFonts w:cstheme="minorHAnsi"/>
          <w:bCs/>
        </w:rPr>
      </w:pPr>
      <w:r>
        <w:rPr>
          <w:rFonts w:cstheme="minorHAnsi"/>
          <w:bCs/>
        </w:rPr>
        <w:t xml:space="preserve">●We provide our graduate students </w:t>
      </w:r>
      <w:proofErr w:type="spellStart"/>
      <w:r>
        <w:rPr>
          <w:rFonts w:cstheme="minorHAnsi"/>
          <w:bCs/>
        </w:rPr>
        <w:t>practica</w:t>
      </w:r>
      <w:proofErr w:type="spellEnd"/>
      <w:r>
        <w:rPr>
          <w:rFonts w:cstheme="minorHAnsi"/>
          <w:bCs/>
        </w:rPr>
        <w:t xml:space="preserve"> in both medical and school settings. </w:t>
      </w:r>
      <w:r w:rsidR="00A16ADB">
        <w:rPr>
          <w:rFonts w:cstheme="minorHAnsi"/>
          <w:bCs/>
        </w:rPr>
        <w:t>All 28 of the fall 2018 class will take COMD 559A, Advance</w:t>
      </w:r>
      <w:r w:rsidR="003E4484">
        <w:rPr>
          <w:rFonts w:cstheme="minorHAnsi"/>
          <w:bCs/>
        </w:rPr>
        <w:t>d P</w:t>
      </w:r>
      <w:r w:rsidR="00A16ADB">
        <w:rPr>
          <w:rFonts w:cstheme="minorHAnsi"/>
          <w:bCs/>
        </w:rPr>
        <w:t>racticum and COMD 5859A, Practi</w:t>
      </w:r>
      <w:r w:rsidR="003E4484">
        <w:rPr>
          <w:rFonts w:cstheme="minorHAnsi"/>
          <w:bCs/>
        </w:rPr>
        <w:t>cum in public S</w:t>
      </w:r>
      <w:r w:rsidR="00A16ADB">
        <w:rPr>
          <w:rFonts w:cstheme="minorHAnsi"/>
          <w:bCs/>
        </w:rPr>
        <w:t>chool</w:t>
      </w:r>
      <w:r w:rsidR="003E4484">
        <w:rPr>
          <w:rFonts w:cstheme="minorHAnsi"/>
          <w:bCs/>
        </w:rPr>
        <w:t xml:space="preserve"> Practicum</w:t>
      </w:r>
      <w:r w:rsidR="00A16ADB">
        <w:rPr>
          <w:rFonts w:cstheme="minorHAnsi"/>
          <w:bCs/>
        </w:rPr>
        <w:t xml:space="preserve">. </w:t>
      </w:r>
    </w:p>
    <w:p w:rsidR="00634B0B" w:rsidRDefault="00015FE1" w:rsidP="000F489A">
      <w:pPr>
        <w:spacing w:line="276" w:lineRule="auto"/>
        <w:rPr>
          <w:rFonts w:cstheme="minorHAnsi"/>
          <w:bCs/>
        </w:rPr>
      </w:pPr>
      <w:r>
        <w:rPr>
          <w:rFonts w:cstheme="minorHAnsi"/>
          <w:bCs/>
        </w:rPr>
        <w:t>●</w:t>
      </w:r>
      <w:r w:rsidR="009A2926" w:rsidRPr="000F489A">
        <w:rPr>
          <w:rFonts w:cstheme="minorHAnsi"/>
          <w:bCs/>
        </w:rPr>
        <w:t>The conversion of the o</w:t>
      </w:r>
      <w:r w:rsidR="00CD2FC4" w:rsidRPr="000F489A">
        <w:rPr>
          <w:rFonts w:cstheme="minorHAnsi"/>
          <w:bCs/>
        </w:rPr>
        <w:t xml:space="preserve">bservation room recording system from </w:t>
      </w:r>
      <w:r w:rsidR="009A2926" w:rsidRPr="000F489A">
        <w:rPr>
          <w:rFonts w:cstheme="minorHAnsi"/>
          <w:bCs/>
        </w:rPr>
        <w:t xml:space="preserve">an </w:t>
      </w:r>
      <w:r w:rsidR="00CD2FC4" w:rsidRPr="000F489A">
        <w:rPr>
          <w:rFonts w:cstheme="minorHAnsi"/>
          <w:bCs/>
        </w:rPr>
        <w:t xml:space="preserve">analog to </w:t>
      </w:r>
      <w:r w:rsidR="009A2926" w:rsidRPr="000F489A">
        <w:rPr>
          <w:rFonts w:cstheme="minorHAnsi"/>
          <w:bCs/>
        </w:rPr>
        <w:t xml:space="preserve">a </w:t>
      </w:r>
      <w:r w:rsidR="003E4484">
        <w:rPr>
          <w:rFonts w:cstheme="minorHAnsi"/>
          <w:bCs/>
        </w:rPr>
        <w:t xml:space="preserve">digital system </w:t>
      </w:r>
      <w:proofErr w:type="gramStart"/>
      <w:r w:rsidR="003E4484">
        <w:rPr>
          <w:rFonts w:cstheme="minorHAnsi"/>
          <w:bCs/>
        </w:rPr>
        <w:t>has been</w:t>
      </w:r>
      <w:r w:rsidR="00CD2FC4" w:rsidRPr="000F489A">
        <w:rPr>
          <w:rFonts w:cstheme="minorHAnsi"/>
          <w:bCs/>
        </w:rPr>
        <w:t xml:space="preserve"> </w:t>
      </w:r>
      <w:r w:rsidR="00A16ADB">
        <w:rPr>
          <w:rFonts w:cstheme="minorHAnsi"/>
          <w:bCs/>
        </w:rPr>
        <w:t>complete</w:t>
      </w:r>
      <w:r w:rsidR="003E4484">
        <w:rPr>
          <w:rFonts w:cstheme="minorHAnsi"/>
          <w:bCs/>
        </w:rPr>
        <w:t>d</w:t>
      </w:r>
      <w:proofErr w:type="gramEnd"/>
      <w:r w:rsidR="00A16ADB">
        <w:rPr>
          <w:rFonts w:cstheme="minorHAnsi"/>
          <w:bCs/>
        </w:rPr>
        <w:t xml:space="preserve"> by replacing VHS recorders with laptops.</w:t>
      </w:r>
    </w:p>
    <w:p w:rsidR="00A22CF2" w:rsidRDefault="00A22CF2" w:rsidP="000F489A">
      <w:pPr>
        <w:spacing w:line="276" w:lineRule="auto"/>
        <w:rPr>
          <w:rFonts w:cstheme="minorHAnsi"/>
          <w:bCs/>
        </w:rPr>
      </w:pPr>
      <w:r>
        <w:rPr>
          <w:rFonts w:cstheme="minorHAnsi"/>
          <w:bCs/>
        </w:rPr>
        <w:t xml:space="preserve">● COMD 501, Seminar in Speech-Language Pathology provided students with pre-clinic experience (performing speech and hearing screenings to kindergarteners in the community). Pre-and post-survey results indicated </w:t>
      </w:r>
      <w:proofErr w:type="gramStart"/>
      <w:r>
        <w:rPr>
          <w:rFonts w:cstheme="minorHAnsi"/>
          <w:bCs/>
        </w:rPr>
        <w:t>service learning</w:t>
      </w:r>
      <w:proofErr w:type="gramEnd"/>
      <w:r>
        <w:rPr>
          <w:rFonts w:cstheme="minorHAnsi"/>
          <w:bCs/>
        </w:rPr>
        <w:t xml:space="preserve"> activities increa</w:t>
      </w:r>
      <w:r w:rsidR="00A07668">
        <w:rPr>
          <w:rFonts w:cstheme="minorHAnsi"/>
          <w:bCs/>
        </w:rPr>
        <w:t>sed student’s experience with c</w:t>
      </w:r>
      <w:r>
        <w:rPr>
          <w:rFonts w:cstheme="minorHAnsi"/>
          <w:bCs/>
        </w:rPr>
        <w:t>r</w:t>
      </w:r>
      <w:r w:rsidR="00A07668">
        <w:rPr>
          <w:rFonts w:cstheme="minorHAnsi"/>
          <w:bCs/>
        </w:rPr>
        <w:t>o</w:t>
      </w:r>
      <w:r>
        <w:rPr>
          <w:rFonts w:cstheme="minorHAnsi"/>
          <w:bCs/>
        </w:rPr>
        <w:t>ss</w:t>
      </w:r>
      <w:r w:rsidR="00A07668">
        <w:rPr>
          <w:rFonts w:cstheme="minorHAnsi"/>
          <w:bCs/>
        </w:rPr>
        <w:t>-</w:t>
      </w:r>
      <w:r>
        <w:rPr>
          <w:rFonts w:cstheme="minorHAnsi"/>
          <w:bCs/>
        </w:rPr>
        <w:t>cultural/cross-linguistic interactions with diverse client populations in the community.</w:t>
      </w:r>
    </w:p>
    <w:p w:rsidR="00A16ADB" w:rsidRPr="000F489A" w:rsidRDefault="00A16ADB" w:rsidP="000F489A">
      <w:pPr>
        <w:spacing w:line="276" w:lineRule="auto"/>
        <w:rPr>
          <w:rFonts w:cstheme="minorHAnsi"/>
          <w:b/>
          <w:bCs/>
          <w:sz w:val="32"/>
          <w:szCs w:val="32"/>
        </w:rPr>
      </w:pPr>
    </w:p>
    <w:p w:rsidR="00634B0B" w:rsidRPr="000F489A" w:rsidRDefault="00634B0B" w:rsidP="000F489A">
      <w:pPr>
        <w:spacing w:line="276" w:lineRule="auto"/>
        <w:rPr>
          <w:rFonts w:cstheme="minorHAnsi"/>
          <w:b/>
          <w:bCs/>
          <w:sz w:val="32"/>
          <w:szCs w:val="32"/>
        </w:rPr>
      </w:pPr>
      <w:r w:rsidRPr="000F489A">
        <w:rPr>
          <w:rFonts w:cstheme="minorHAnsi"/>
          <w:b/>
          <w:bCs/>
          <w:sz w:val="32"/>
          <w:szCs w:val="32"/>
        </w:rPr>
        <w:t>GOAL 3</w:t>
      </w:r>
    </w:p>
    <w:p w:rsidR="00634B0B" w:rsidRPr="000F489A" w:rsidRDefault="00A16ADB" w:rsidP="000F489A">
      <w:pPr>
        <w:spacing w:line="276" w:lineRule="auto"/>
        <w:ind w:left="1080"/>
        <w:rPr>
          <w:rFonts w:cstheme="minorHAnsi"/>
          <w:b/>
          <w:sz w:val="28"/>
          <w:szCs w:val="28"/>
        </w:rPr>
      </w:pPr>
      <w:r>
        <w:rPr>
          <w:rFonts w:cstheme="minorHAnsi"/>
          <w:b/>
          <w:sz w:val="28"/>
          <w:szCs w:val="28"/>
        </w:rPr>
        <w:t>I</w:t>
      </w:r>
      <w:r w:rsidR="00634B0B" w:rsidRPr="000F489A">
        <w:rPr>
          <w:rFonts w:cstheme="minorHAnsi"/>
          <w:b/>
          <w:sz w:val="28"/>
          <w:szCs w:val="28"/>
        </w:rPr>
        <w:t>ncorporate formative and summative assessment instruments to evaluate student achievement.</w:t>
      </w:r>
    </w:p>
    <w:p w:rsidR="00F53449" w:rsidRDefault="00F53449" w:rsidP="000F489A">
      <w:pPr>
        <w:spacing w:line="276" w:lineRule="auto"/>
        <w:rPr>
          <w:rFonts w:cstheme="minorHAnsi"/>
        </w:rPr>
      </w:pPr>
    </w:p>
    <w:p w:rsidR="005C0DCF" w:rsidRDefault="009B4E4B" w:rsidP="000F489A">
      <w:pPr>
        <w:spacing w:line="276" w:lineRule="auto"/>
        <w:rPr>
          <w:rFonts w:cstheme="minorHAnsi"/>
        </w:rPr>
      </w:pPr>
      <w:r>
        <w:rPr>
          <w:rFonts w:cstheme="minorHAnsi"/>
        </w:rPr>
        <w:t>●</w:t>
      </w:r>
      <w:r w:rsidR="005C0DCF">
        <w:rPr>
          <w:rFonts w:cstheme="minorHAnsi"/>
        </w:rPr>
        <w:t xml:space="preserve">Annual initial passing rate of the 10 Knowledge and Skills Acquisition (KASA) exams in graduate seminars were 70% or higher in four of the 10 KASAs in fall 2018. </w:t>
      </w:r>
    </w:p>
    <w:p w:rsidR="00841782" w:rsidRDefault="009B4E4B" w:rsidP="000F489A">
      <w:pPr>
        <w:spacing w:line="276" w:lineRule="auto"/>
        <w:rPr>
          <w:rFonts w:cstheme="minorHAnsi"/>
        </w:rPr>
      </w:pPr>
      <w:r>
        <w:rPr>
          <w:rFonts w:cstheme="minorHAnsi"/>
        </w:rPr>
        <w:t>●</w:t>
      </w:r>
      <w:r w:rsidR="00841782">
        <w:rPr>
          <w:rFonts w:cstheme="minorHAnsi"/>
        </w:rPr>
        <w:t>Graduate surv</w:t>
      </w:r>
      <w:r w:rsidR="00324EAF">
        <w:rPr>
          <w:rFonts w:cstheme="minorHAnsi"/>
        </w:rPr>
        <w:t xml:space="preserve">ey responses obtained in 2018 </w:t>
      </w:r>
      <w:r w:rsidR="00B533DB">
        <w:rPr>
          <w:rFonts w:cstheme="minorHAnsi"/>
        </w:rPr>
        <w:t xml:space="preserve">from spring 2016 and fall 2017 graduates </w:t>
      </w:r>
      <w:r w:rsidR="00324EAF">
        <w:rPr>
          <w:rFonts w:cstheme="minorHAnsi"/>
        </w:rPr>
        <w:t>(6: public school, 3: private practice clinic, 1: hospital settings</w:t>
      </w:r>
      <w:r w:rsidR="00015FE1">
        <w:rPr>
          <w:rFonts w:cstheme="minorHAnsi"/>
        </w:rPr>
        <w:t xml:space="preserve">) show ratings in </w:t>
      </w:r>
      <w:proofErr w:type="gramStart"/>
      <w:r w:rsidR="00015FE1">
        <w:rPr>
          <w:rFonts w:cstheme="minorHAnsi"/>
        </w:rPr>
        <w:t>3</w:t>
      </w:r>
      <w:proofErr w:type="gramEnd"/>
      <w:r w:rsidR="00015FE1">
        <w:rPr>
          <w:rFonts w:cstheme="minorHAnsi"/>
        </w:rPr>
        <w:t xml:space="preserve"> (moderately agree) or 4 (strongly agree)</w:t>
      </w:r>
      <w:r w:rsidR="00B533DB">
        <w:rPr>
          <w:rFonts w:cstheme="minorHAnsi"/>
        </w:rPr>
        <w:t xml:space="preserve"> in evaluation and intervention across difference disorders</w:t>
      </w:r>
      <w:r w:rsidR="00841782">
        <w:rPr>
          <w:rFonts w:cstheme="minorHAnsi"/>
        </w:rPr>
        <w:t>. Our graduates feel well prepared for them to work as speech-language pathologists.</w:t>
      </w:r>
    </w:p>
    <w:p w:rsidR="00841782" w:rsidRDefault="009B4E4B" w:rsidP="000F489A">
      <w:pPr>
        <w:spacing w:line="276" w:lineRule="auto"/>
        <w:rPr>
          <w:rFonts w:cstheme="minorHAnsi"/>
        </w:rPr>
      </w:pPr>
      <w:proofErr w:type="gramStart"/>
      <w:r>
        <w:rPr>
          <w:rFonts w:cstheme="minorHAnsi"/>
        </w:rPr>
        <w:t>●</w:t>
      </w:r>
      <w:r w:rsidR="00841782">
        <w:rPr>
          <w:rFonts w:cstheme="minorHAnsi"/>
        </w:rPr>
        <w:t>Un</w:t>
      </w:r>
      <w:r w:rsidR="00DA568A">
        <w:rPr>
          <w:rFonts w:cstheme="minorHAnsi"/>
        </w:rPr>
        <w:t xml:space="preserve">dergraduate assessment </w:t>
      </w:r>
      <w:r w:rsidR="00F50B52">
        <w:rPr>
          <w:rFonts w:cstheme="minorHAnsi"/>
        </w:rPr>
        <w:t xml:space="preserve">test </w:t>
      </w:r>
      <w:r w:rsidR="00DA568A">
        <w:rPr>
          <w:rFonts w:cstheme="minorHAnsi"/>
        </w:rPr>
        <w:t>result</w:t>
      </w:r>
      <w:r w:rsidR="00F50B52">
        <w:rPr>
          <w:rFonts w:cstheme="minorHAnsi"/>
        </w:rPr>
        <w:t>s</w:t>
      </w:r>
      <w:proofErr w:type="gramEnd"/>
      <w:r w:rsidR="00F50B52">
        <w:rPr>
          <w:rFonts w:cstheme="minorHAnsi"/>
        </w:rPr>
        <w:t xml:space="preserve"> obtained in COMD 476 class in fall 2018 were class Mean of 60 and 63% correct in both sections. </w:t>
      </w:r>
      <w:r w:rsidR="003B1CE8">
        <w:rPr>
          <w:rFonts w:cstheme="minorHAnsi"/>
        </w:rPr>
        <w:t>The chair forgot to administer a</w:t>
      </w:r>
      <w:r w:rsidR="00F50B52">
        <w:rPr>
          <w:rFonts w:cstheme="minorHAnsi"/>
        </w:rPr>
        <w:t>ssess</w:t>
      </w:r>
      <w:r w:rsidR="003B1CE8">
        <w:rPr>
          <w:rFonts w:cstheme="minorHAnsi"/>
        </w:rPr>
        <w:t xml:space="preserve">ment test in </w:t>
      </w:r>
      <w:r w:rsidR="00F50B52">
        <w:rPr>
          <w:rFonts w:cstheme="minorHAnsi"/>
        </w:rPr>
        <w:t>spring 2019.</w:t>
      </w:r>
    </w:p>
    <w:p w:rsidR="00634B0B" w:rsidRPr="000F489A" w:rsidRDefault="00634B0B" w:rsidP="000F489A">
      <w:pPr>
        <w:spacing w:line="276" w:lineRule="auto"/>
        <w:rPr>
          <w:rFonts w:cstheme="minorHAnsi"/>
          <w:sz w:val="28"/>
          <w:szCs w:val="28"/>
        </w:rPr>
      </w:pPr>
    </w:p>
    <w:p w:rsidR="00634B0B" w:rsidRDefault="00634B0B" w:rsidP="000F489A">
      <w:pPr>
        <w:spacing w:line="276" w:lineRule="auto"/>
        <w:jc w:val="both"/>
        <w:rPr>
          <w:rFonts w:cstheme="minorHAnsi"/>
          <w:b/>
          <w:bCs/>
          <w:sz w:val="32"/>
          <w:szCs w:val="32"/>
        </w:rPr>
      </w:pPr>
      <w:r w:rsidRPr="000F489A">
        <w:rPr>
          <w:rFonts w:cstheme="minorHAnsi"/>
          <w:b/>
          <w:bCs/>
          <w:sz w:val="32"/>
          <w:szCs w:val="32"/>
        </w:rPr>
        <w:t>GOAL 4</w:t>
      </w:r>
    </w:p>
    <w:p w:rsidR="004F0FAB" w:rsidRPr="000F489A" w:rsidRDefault="004F0FAB" w:rsidP="004F0FAB">
      <w:pPr>
        <w:spacing w:line="276" w:lineRule="auto"/>
        <w:ind w:left="1080"/>
        <w:rPr>
          <w:rFonts w:cstheme="minorHAnsi"/>
          <w:b/>
          <w:sz w:val="28"/>
          <w:szCs w:val="28"/>
        </w:rPr>
      </w:pPr>
      <w:r w:rsidRPr="000F489A">
        <w:rPr>
          <w:rFonts w:cstheme="minorHAnsi"/>
          <w:b/>
          <w:sz w:val="28"/>
          <w:szCs w:val="28"/>
        </w:rPr>
        <w:t>Develop and maintain a curricular and co-curricular environment that prepares students for participation in a global society and is responsive to workforce needs</w:t>
      </w:r>
      <w:r>
        <w:rPr>
          <w:rFonts w:cstheme="minorHAnsi"/>
          <w:b/>
          <w:sz w:val="28"/>
          <w:szCs w:val="28"/>
        </w:rPr>
        <w:t>.</w:t>
      </w:r>
    </w:p>
    <w:p w:rsidR="004F0FAB" w:rsidRPr="000F489A" w:rsidRDefault="004F0FAB" w:rsidP="004F0FAB">
      <w:pPr>
        <w:spacing w:line="276" w:lineRule="auto"/>
        <w:rPr>
          <w:rFonts w:cstheme="minorHAnsi"/>
        </w:rPr>
      </w:pPr>
    </w:p>
    <w:p w:rsidR="004F0FAB" w:rsidRDefault="004F0FAB" w:rsidP="004F0FAB">
      <w:pPr>
        <w:spacing w:line="276" w:lineRule="auto"/>
        <w:rPr>
          <w:rFonts w:cstheme="minorHAnsi"/>
        </w:rPr>
      </w:pPr>
      <w:r>
        <w:rPr>
          <w:rFonts w:cstheme="minorHAnsi"/>
        </w:rPr>
        <w:t xml:space="preserve">●We have provided High Impact Practice (HIP) opportunities to our students through research opportunities with faculty, clinic assistant positions, and community engagement opportunities. Three faculty members (Kim, Seung, and Weir-Mayta) conducted research with students and 11 students presented with them at ASHA 2018 and CSHA 2019 conventions. </w:t>
      </w:r>
    </w:p>
    <w:p w:rsidR="004F0FAB" w:rsidRDefault="004F0FAB" w:rsidP="004F0FAB">
      <w:pPr>
        <w:spacing w:line="276" w:lineRule="auto"/>
        <w:rPr>
          <w:rFonts w:cstheme="minorHAnsi"/>
        </w:rPr>
      </w:pPr>
      <w:r>
        <w:rPr>
          <w:rFonts w:cstheme="minorHAnsi"/>
        </w:rPr>
        <w:t xml:space="preserve">●Five students worked as clinic assistants at the Speech and Hearing Clinic (HIP). </w:t>
      </w:r>
    </w:p>
    <w:p w:rsidR="004F0FAB" w:rsidRDefault="004F0FAB" w:rsidP="004F0FAB">
      <w:pPr>
        <w:spacing w:line="276" w:lineRule="auto"/>
        <w:rPr>
          <w:rFonts w:cstheme="minorHAnsi"/>
        </w:rPr>
      </w:pPr>
      <w:r>
        <w:rPr>
          <w:rFonts w:cstheme="minorHAnsi"/>
        </w:rPr>
        <w:t>●Dr. Tsao did community engagement with students by participating in health fairs in collaboration with the Tzu-Chi foundation.</w:t>
      </w:r>
    </w:p>
    <w:p w:rsidR="004F0FAB" w:rsidRDefault="004F0FAB" w:rsidP="004F0FAB">
      <w:pPr>
        <w:spacing w:line="276" w:lineRule="auto"/>
        <w:rPr>
          <w:rFonts w:cstheme="minorHAnsi"/>
        </w:rPr>
      </w:pPr>
      <w:r>
        <w:rPr>
          <w:rFonts w:cstheme="minorHAnsi"/>
        </w:rPr>
        <w:t xml:space="preserve">●Two graduate seminars </w:t>
      </w:r>
      <w:r w:rsidR="005F4F48">
        <w:rPr>
          <w:rFonts w:cstheme="minorHAnsi"/>
        </w:rPr>
        <w:t>(COMD 544 and 571</w:t>
      </w:r>
      <w:proofErr w:type="gramStart"/>
      <w:r w:rsidR="005F4F48">
        <w:rPr>
          <w:rFonts w:cstheme="minorHAnsi"/>
        </w:rPr>
        <w:t>)</w:t>
      </w:r>
      <w:r>
        <w:rPr>
          <w:rFonts w:cstheme="minorHAnsi"/>
        </w:rPr>
        <w:t>provided</w:t>
      </w:r>
      <w:proofErr w:type="gramEnd"/>
      <w:r>
        <w:rPr>
          <w:rFonts w:cstheme="minorHAnsi"/>
        </w:rPr>
        <w:t xml:space="preserve"> opportunities for </w:t>
      </w:r>
      <w:proofErr w:type="spellStart"/>
      <w:r>
        <w:rPr>
          <w:rFonts w:cstheme="minorHAnsi"/>
        </w:rPr>
        <w:t>Inte</w:t>
      </w:r>
      <w:r w:rsidR="00A07668">
        <w:rPr>
          <w:rFonts w:cstheme="minorHAnsi"/>
        </w:rPr>
        <w:t>rp</w:t>
      </w:r>
      <w:r w:rsidR="005F4F48">
        <w:rPr>
          <w:rFonts w:cstheme="minorHAnsi"/>
        </w:rPr>
        <w:t>rofessional</w:t>
      </w:r>
      <w:proofErr w:type="spellEnd"/>
      <w:r w:rsidR="005F4F48">
        <w:rPr>
          <w:rFonts w:cstheme="minorHAnsi"/>
        </w:rPr>
        <w:t xml:space="preserve"> Education (IPE)</w:t>
      </w:r>
      <w:r>
        <w:rPr>
          <w:rFonts w:cstheme="minorHAnsi"/>
        </w:rPr>
        <w:t xml:space="preserve">. Students in COMD 571 interacted with students in the Counseling Department </w:t>
      </w:r>
      <w:r w:rsidR="005F4F48">
        <w:rPr>
          <w:rFonts w:cstheme="minorHAnsi"/>
        </w:rPr>
        <w:t>in spring</w:t>
      </w:r>
      <w:r w:rsidR="00A22CF2">
        <w:rPr>
          <w:rFonts w:cstheme="minorHAnsi"/>
        </w:rPr>
        <w:t xml:space="preserve"> 2019 </w:t>
      </w:r>
      <w:r>
        <w:rPr>
          <w:rFonts w:cstheme="minorHAnsi"/>
        </w:rPr>
        <w:t xml:space="preserve">and </w:t>
      </w:r>
      <w:r w:rsidR="005F4F48">
        <w:rPr>
          <w:rFonts w:cstheme="minorHAnsi"/>
        </w:rPr>
        <w:t>with stude</w:t>
      </w:r>
      <w:r w:rsidR="00A07668">
        <w:rPr>
          <w:rFonts w:cstheme="minorHAnsi"/>
        </w:rPr>
        <w:t xml:space="preserve">nts in </w:t>
      </w:r>
      <w:r w:rsidR="005F4F48">
        <w:rPr>
          <w:rFonts w:cstheme="minorHAnsi"/>
        </w:rPr>
        <w:t>allied health disciplines (social work, public healt</w:t>
      </w:r>
      <w:r w:rsidR="00A07668">
        <w:rPr>
          <w:rFonts w:cstheme="minorHAnsi"/>
        </w:rPr>
        <w:t>h, nursing, athletic training</w:t>
      </w:r>
      <w:r w:rsidR="005F4F48">
        <w:rPr>
          <w:rFonts w:cstheme="minorHAnsi"/>
        </w:rPr>
        <w:t xml:space="preserve">) </w:t>
      </w:r>
      <w:r>
        <w:rPr>
          <w:rFonts w:cstheme="minorHAnsi"/>
        </w:rPr>
        <w:t xml:space="preserve"> in </w:t>
      </w:r>
      <w:r w:rsidR="005F4F48">
        <w:rPr>
          <w:rFonts w:cstheme="minorHAnsi"/>
        </w:rPr>
        <w:t xml:space="preserve">fall 2019; </w:t>
      </w:r>
      <w:r>
        <w:rPr>
          <w:rFonts w:cstheme="minorHAnsi"/>
        </w:rPr>
        <w:t xml:space="preserve">COMD 544 interacted with students in </w:t>
      </w:r>
      <w:r w:rsidR="00A22CF2">
        <w:rPr>
          <w:rFonts w:cstheme="minorHAnsi"/>
        </w:rPr>
        <w:t xml:space="preserve">six </w:t>
      </w:r>
      <w:r w:rsidR="005F4F48">
        <w:rPr>
          <w:rFonts w:cstheme="minorHAnsi"/>
        </w:rPr>
        <w:t>allied health discipline in spring 2019</w:t>
      </w:r>
      <w:r>
        <w:rPr>
          <w:rFonts w:cstheme="minorHAnsi"/>
        </w:rPr>
        <w:t>.</w:t>
      </w:r>
    </w:p>
    <w:p w:rsidR="00710650" w:rsidRPr="000F489A" w:rsidRDefault="00710650" w:rsidP="000F489A">
      <w:pPr>
        <w:spacing w:line="276" w:lineRule="auto"/>
        <w:rPr>
          <w:rFonts w:cstheme="minorHAnsi"/>
          <w:b/>
          <w:bCs/>
          <w:sz w:val="32"/>
          <w:szCs w:val="32"/>
        </w:rPr>
      </w:pPr>
      <w:bookmarkStart w:id="0" w:name="_GoBack"/>
      <w:bookmarkEnd w:id="0"/>
    </w:p>
    <w:p w:rsidR="00634B0B" w:rsidRPr="000F489A" w:rsidRDefault="00634B0B" w:rsidP="000F489A">
      <w:pPr>
        <w:spacing w:line="276" w:lineRule="auto"/>
        <w:rPr>
          <w:rFonts w:cstheme="minorHAnsi"/>
          <w:b/>
          <w:bCs/>
          <w:sz w:val="32"/>
          <w:szCs w:val="32"/>
        </w:rPr>
      </w:pPr>
      <w:r w:rsidRPr="000F489A">
        <w:rPr>
          <w:rFonts w:cstheme="minorHAnsi"/>
          <w:b/>
          <w:bCs/>
          <w:sz w:val="32"/>
          <w:szCs w:val="32"/>
        </w:rPr>
        <w:t>GOAL 5</w:t>
      </w:r>
    </w:p>
    <w:p w:rsidR="00634B0B" w:rsidRPr="000F489A" w:rsidRDefault="002174C3" w:rsidP="000F489A">
      <w:pPr>
        <w:spacing w:line="276" w:lineRule="auto"/>
        <w:ind w:left="1080"/>
        <w:rPr>
          <w:rFonts w:cstheme="minorHAnsi"/>
          <w:b/>
          <w:sz w:val="28"/>
          <w:szCs w:val="28"/>
        </w:rPr>
      </w:pPr>
      <w:r>
        <w:rPr>
          <w:rFonts w:cstheme="minorHAnsi"/>
          <w:b/>
          <w:sz w:val="28"/>
          <w:szCs w:val="28"/>
        </w:rPr>
        <w:t>S</w:t>
      </w:r>
      <w:r w:rsidR="00634B0B" w:rsidRPr="000F489A">
        <w:rPr>
          <w:rFonts w:cstheme="minorHAnsi"/>
          <w:b/>
          <w:sz w:val="28"/>
          <w:szCs w:val="28"/>
        </w:rPr>
        <w:t>trengthen institutional and community agenc</w:t>
      </w:r>
      <w:r>
        <w:rPr>
          <w:rFonts w:cstheme="minorHAnsi"/>
          <w:b/>
          <w:sz w:val="28"/>
          <w:szCs w:val="28"/>
        </w:rPr>
        <w:t>y collaboration through</w:t>
      </w:r>
      <w:r w:rsidR="00634B0B" w:rsidRPr="000F489A">
        <w:rPr>
          <w:rFonts w:cstheme="minorHAnsi"/>
          <w:b/>
          <w:sz w:val="28"/>
          <w:szCs w:val="28"/>
        </w:rPr>
        <w:t xml:space="preserve"> clinical site connections</w:t>
      </w:r>
      <w:r>
        <w:rPr>
          <w:rFonts w:cstheme="minorHAnsi"/>
          <w:b/>
          <w:sz w:val="28"/>
          <w:szCs w:val="28"/>
        </w:rPr>
        <w:t xml:space="preserve">, </w:t>
      </w:r>
      <w:r w:rsidR="00634B0B" w:rsidRPr="000F489A">
        <w:rPr>
          <w:rFonts w:cstheme="minorHAnsi"/>
          <w:b/>
          <w:sz w:val="28"/>
          <w:szCs w:val="28"/>
        </w:rPr>
        <w:t>educational partnerships</w:t>
      </w:r>
      <w:r w:rsidR="003E4484">
        <w:rPr>
          <w:rFonts w:cstheme="minorHAnsi"/>
          <w:b/>
          <w:sz w:val="28"/>
          <w:szCs w:val="28"/>
        </w:rPr>
        <w:t>, and</w:t>
      </w:r>
      <w:r>
        <w:rPr>
          <w:rFonts w:cstheme="minorHAnsi"/>
          <w:b/>
          <w:sz w:val="28"/>
          <w:szCs w:val="28"/>
        </w:rPr>
        <w:t xml:space="preserve"> alumni activities</w:t>
      </w:r>
      <w:r w:rsidR="00634B0B" w:rsidRPr="000F489A">
        <w:rPr>
          <w:rFonts w:cstheme="minorHAnsi"/>
          <w:b/>
          <w:sz w:val="28"/>
          <w:szCs w:val="28"/>
        </w:rPr>
        <w:t>.</w:t>
      </w:r>
    </w:p>
    <w:p w:rsidR="00634B0B" w:rsidRPr="000F489A" w:rsidRDefault="00634B0B" w:rsidP="000F489A">
      <w:pPr>
        <w:spacing w:line="276" w:lineRule="auto"/>
        <w:rPr>
          <w:rFonts w:cstheme="minorHAnsi"/>
          <w:sz w:val="28"/>
          <w:szCs w:val="28"/>
        </w:rPr>
      </w:pPr>
    </w:p>
    <w:p w:rsidR="0013334D" w:rsidRDefault="009B4E4B" w:rsidP="008F0D61">
      <w:pPr>
        <w:spacing w:line="276" w:lineRule="auto"/>
        <w:ind w:left="90"/>
        <w:rPr>
          <w:rFonts w:cstheme="minorHAnsi"/>
        </w:rPr>
      </w:pPr>
      <w:r>
        <w:rPr>
          <w:rFonts w:cstheme="minorHAnsi"/>
        </w:rPr>
        <w:t>●</w:t>
      </w:r>
      <w:r w:rsidR="0013334D">
        <w:rPr>
          <w:rFonts w:cstheme="minorHAnsi"/>
        </w:rPr>
        <w:t xml:space="preserve">To strengthen alumni relations, we hosted the first alumni luncheon during the California Speech-Language-Hearing Association annual convention in Pasadena in March 2019. Fifty- </w:t>
      </w:r>
      <w:r w:rsidR="0013334D">
        <w:rPr>
          <w:rFonts w:cstheme="minorHAnsi"/>
        </w:rPr>
        <w:lastRenderedPageBreak/>
        <w:t>three people including faculty, alumni,</w:t>
      </w:r>
      <w:r w:rsidR="008F0D61">
        <w:rPr>
          <w:rFonts w:cstheme="minorHAnsi"/>
        </w:rPr>
        <w:t xml:space="preserve"> and students attended the luncheon on Saturday March 16, 2019 during the CSHA convention in Pasadena.</w:t>
      </w:r>
    </w:p>
    <w:p w:rsidR="0013334D" w:rsidRDefault="009B4E4B" w:rsidP="0013334D">
      <w:pPr>
        <w:spacing w:line="276" w:lineRule="auto"/>
        <w:ind w:left="90"/>
        <w:rPr>
          <w:rFonts w:cstheme="minorHAnsi"/>
        </w:rPr>
      </w:pPr>
      <w:r>
        <w:rPr>
          <w:rFonts w:cstheme="minorHAnsi"/>
        </w:rPr>
        <w:t>●</w:t>
      </w:r>
      <w:r w:rsidR="003E4484">
        <w:rPr>
          <w:rFonts w:cstheme="minorHAnsi"/>
        </w:rPr>
        <w:t xml:space="preserve"> </w:t>
      </w:r>
      <w:proofErr w:type="gramStart"/>
      <w:r w:rsidR="003E4484">
        <w:rPr>
          <w:rFonts w:cstheme="minorHAnsi"/>
        </w:rPr>
        <w:t>The</w:t>
      </w:r>
      <w:proofErr w:type="gramEnd"/>
      <w:r w:rsidR="003E4484">
        <w:rPr>
          <w:rFonts w:cstheme="minorHAnsi"/>
        </w:rPr>
        <w:t xml:space="preserve"> c</w:t>
      </w:r>
      <w:r w:rsidR="008F0D61">
        <w:rPr>
          <w:rFonts w:cstheme="minorHAnsi"/>
        </w:rPr>
        <w:t xml:space="preserve">redential coordinator, </w:t>
      </w:r>
      <w:r w:rsidR="00710650" w:rsidRPr="000F489A">
        <w:rPr>
          <w:rFonts w:cstheme="minorHAnsi"/>
        </w:rPr>
        <w:t>Dr. Saenz</w:t>
      </w:r>
      <w:r w:rsidR="008F0D61">
        <w:rPr>
          <w:rFonts w:cstheme="minorHAnsi"/>
        </w:rPr>
        <w:t>,</w:t>
      </w:r>
      <w:r w:rsidR="00710650" w:rsidRPr="000F489A">
        <w:rPr>
          <w:rFonts w:cstheme="minorHAnsi"/>
        </w:rPr>
        <w:t xml:space="preserve"> h</w:t>
      </w:r>
      <w:r w:rsidR="00F02277" w:rsidRPr="000F489A">
        <w:rPr>
          <w:rFonts w:cstheme="minorHAnsi"/>
        </w:rPr>
        <w:t>as been hosting annual Advisory Board Me</w:t>
      </w:r>
      <w:r w:rsidR="00F1371E">
        <w:rPr>
          <w:rFonts w:cstheme="minorHAnsi"/>
        </w:rPr>
        <w:t xml:space="preserve">etings and has shared the updates in </w:t>
      </w:r>
      <w:r w:rsidR="00710650" w:rsidRPr="000F489A">
        <w:rPr>
          <w:rFonts w:cstheme="minorHAnsi"/>
        </w:rPr>
        <w:t xml:space="preserve">the department </w:t>
      </w:r>
      <w:r w:rsidR="008F0D61">
        <w:rPr>
          <w:rFonts w:cstheme="minorHAnsi"/>
        </w:rPr>
        <w:t xml:space="preserve">with them </w:t>
      </w:r>
      <w:r w:rsidR="00710650" w:rsidRPr="000F489A">
        <w:rPr>
          <w:rFonts w:cstheme="minorHAnsi"/>
        </w:rPr>
        <w:t>and obtain</w:t>
      </w:r>
      <w:r w:rsidR="008F0D61">
        <w:rPr>
          <w:rFonts w:cstheme="minorHAnsi"/>
        </w:rPr>
        <w:t>ed</w:t>
      </w:r>
      <w:r w:rsidR="00F02277" w:rsidRPr="000F489A">
        <w:rPr>
          <w:rFonts w:cstheme="minorHAnsi"/>
        </w:rPr>
        <w:t xml:space="preserve"> the Board’s </w:t>
      </w:r>
      <w:r w:rsidR="00710650" w:rsidRPr="000F489A">
        <w:rPr>
          <w:rFonts w:cstheme="minorHAnsi"/>
        </w:rPr>
        <w:t xml:space="preserve">feedback for improvement. </w:t>
      </w:r>
      <w:r w:rsidR="003E4484">
        <w:rPr>
          <w:rFonts w:cstheme="minorHAnsi"/>
        </w:rPr>
        <w:t>Nine A</w:t>
      </w:r>
      <w:r w:rsidR="002174C3">
        <w:rPr>
          <w:rFonts w:cstheme="minorHAnsi"/>
        </w:rPr>
        <w:t>dvisor</w:t>
      </w:r>
      <w:r w:rsidR="00F1371E">
        <w:rPr>
          <w:rFonts w:cstheme="minorHAnsi"/>
        </w:rPr>
        <w:t>y</w:t>
      </w:r>
      <w:r w:rsidR="003E4484">
        <w:rPr>
          <w:rFonts w:cstheme="minorHAnsi"/>
        </w:rPr>
        <w:t xml:space="preserve"> B</w:t>
      </w:r>
      <w:r w:rsidR="002174C3">
        <w:rPr>
          <w:rFonts w:cstheme="minorHAnsi"/>
        </w:rPr>
        <w:t>oard members, including Drs. Saenz and Seung, attend</w:t>
      </w:r>
      <w:r w:rsidR="008F0D61">
        <w:rPr>
          <w:rFonts w:cstheme="minorHAnsi"/>
        </w:rPr>
        <w:t>ed</w:t>
      </w:r>
      <w:r w:rsidR="003E4484">
        <w:rPr>
          <w:rFonts w:cstheme="minorHAnsi"/>
        </w:rPr>
        <w:t xml:space="preserve"> the annual Advisory B</w:t>
      </w:r>
      <w:r w:rsidR="002174C3">
        <w:rPr>
          <w:rFonts w:cstheme="minorHAnsi"/>
        </w:rPr>
        <w:t xml:space="preserve">oard meeting on May 13, 2019. </w:t>
      </w:r>
      <w:r w:rsidR="00F02277" w:rsidRPr="000F489A">
        <w:rPr>
          <w:rFonts w:cstheme="minorHAnsi"/>
        </w:rPr>
        <w:t>We plan to c</w:t>
      </w:r>
      <w:r w:rsidR="00710650" w:rsidRPr="000F489A">
        <w:rPr>
          <w:rFonts w:cstheme="minorHAnsi"/>
        </w:rPr>
        <w:t>ontinue to</w:t>
      </w:r>
      <w:r w:rsidR="003E4484">
        <w:rPr>
          <w:rFonts w:cstheme="minorHAnsi"/>
        </w:rPr>
        <w:t xml:space="preserve"> invite new A</w:t>
      </w:r>
      <w:r w:rsidR="00710650" w:rsidRPr="000F489A">
        <w:rPr>
          <w:rFonts w:cstheme="minorHAnsi"/>
        </w:rPr>
        <w:t xml:space="preserve">dvisory </w:t>
      </w:r>
      <w:r w:rsidR="003E4484">
        <w:rPr>
          <w:rFonts w:cstheme="minorHAnsi"/>
        </w:rPr>
        <w:t xml:space="preserve">Board </w:t>
      </w:r>
      <w:r w:rsidR="00710650" w:rsidRPr="000F489A">
        <w:rPr>
          <w:rFonts w:cstheme="minorHAnsi"/>
        </w:rPr>
        <w:t>members from the community.</w:t>
      </w:r>
      <w:r w:rsidR="002174C3">
        <w:rPr>
          <w:rFonts w:cstheme="minorHAnsi"/>
        </w:rPr>
        <w:t xml:space="preserve"> </w:t>
      </w:r>
    </w:p>
    <w:p w:rsidR="0013334D" w:rsidRDefault="009B4E4B" w:rsidP="0013334D">
      <w:pPr>
        <w:spacing w:line="276" w:lineRule="auto"/>
        <w:ind w:left="90"/>
        <w:rPr>
          <w:rFonts w:cstheme="minorHAnsi"/>
        </w:rPr>
      </w:pPr>
      <w:r>
        <w:rPr>
          <w:rFonts w:cstheme="minorHAnsi"/>
        </w:rPr>
        <w:t>●</w:t>
      </w:r>
      <w:r w:rsidR="0013334D">
        <w:rPr>
          <w:rFonts w:cstheme="minorHAnsi"/>
        </w:rPr>
        <w:t xml:space="preserve">Almost all of our graduate students take </w:t>
      </w:r>
      <w:proofErr w:type="spellStart"/>
      <w:r w:rsidR="0013334D">
        <w:rPr>
          <w:rFonts w:cstheme="minorHAnsi"/>
        </w:rPr>
        <w:t>practica</w:t>
      </w:r>
      <w:proofErr w:type="spellEnd"/>
      <w:r w:rsidR="0013334D">
        <w:rPr>
          <w:rFonts w:cstheme="minorHAnsi"/>
        </w:rPr>
        <w:t xml:space="preserve"> in medical/private practice clinics and public schools. Drs. Weir-Mayta and Kurt Kitselman placed all students in hospitals/private practice clinics in COMD 559A</w:t>
      </w:r>
      <w:r w:rsidR="003E4484">
        <w:rPr>
          <w:rFonts w:cstheme="minorHAnsi"/>
        </w:rPr>
        <w:t>,</w:t>
      </w:r>
      <w:r w:rsidR="0013334D">
        <w:rPr>
          <w:rFonts w:cstheme="minorHAnsi"/>
        </w:rPr>
        <w:t xml:space="preserve"> and Dr. Saenz placed all students in public schools in COMD 589A in AY 18-19. </w:t>
      </w:r>
    </w:p>
    <w:p w:rsidR="00634B0B" w:rsidRPr="000F489A" w:rsidRDefault="00634B0B" w:rsidP="000F489A">
      <w:pPr>
        <w:spacing w:line="276" w:lineRule="auto"/>
        <w:ind w:left="1080" w:hanging="990"/>
        <w:rPr>
          <w:rFonts w:cstheme="minorHAnsi"/>
          <w:sz w:val="28"/>
          <w:szCs w:val="28"/>
        </w:rPr>
      </w:pPr>
    </w:p>
    <w:p w:rsidR="00634B0B" w:rsidRDefault="00634B0B" w:rsidP="000F489A">
      <w:pPr>
        <w:spacing w:line="276" w:lineRule="auto"/>
        <w:ind w:left="1080" w:hanging="1080"/>
        <w:rPr>
          <w:rFonts w:cstheme="minorHAnsi"/>
          <w:b/>
          <w:bCs/>
          <w:sz w:val="32"/>
          <w:szCs w:val="32"/>
        </w:rPr>
      </w:pPr>
      <w:r w:rsidRPr="000F489A">
        <w:rPr>
          <w:rFonts w:cstheme="minorHAnsi"/>
          <w:b/>
          <w:bCs/>
          <w:sz w:val="32"/>
          <w:szCs w:val="32"/>
        </w:rPr>
        <w:t>GOAL 6</w:t>
      </w:r>
    </w:p>
    <w:p w:rsidR="004F0FAB" w:rsidRPr="000F489A" w:rsidRDefault="004F0FAB" w:rsidP="004F0FAB">
      <w:pPr>
        <w:spacing w:line="276" w:lineRule="auto"/>
        <w:ind w:left="1080"/>
        <w:rPr>
          <w:rFonts w:cstheme="minorHAnsi"/>
          <w:b/>
          <w:sz w:val="28"/>
          <w:szCs w:val="28"/>
        </w:rPr>
      </w:pPr>
      <w:r>
        <w:rPr>
          <w:rFonts w:cstheme="minorHAnsi"/>
          <w:b/>
          <w:sz w:val="28"/>
          <w:szCs w:val="28"/>
        </w:rPr>
        <w:t>C</w:t>
      </w:r>
      <w:r w:rsidRPr="000F489A">
        <w:rPr>
          <w:rFonts w:cstheme="minorHAnsi"/>
          <w:b/>
          <w:sz w:val="28"/>
          <w:szCs w:val="28"/>
        </w:rPr>
        <w:t>reate an environment where students have opportunities to succeed</w:t>
      </w:r>
      <w:r>
        <w:rPr>
          <w:rFonts w:cstheme="minorHAnsi"/>
          <w:b/>
          <w:sz w:val="28"/>
          <w:szCs w:val="28"/>
        </w:rPr>
        <w:t xml:space="preserve"> academically and clinically</w:t>
      </w:r>
      <w:r w:rsidRPr="000F489A">
        <w:rPr>
          <w:rFonts w:cstheme="minorHAnsi"/>
          <w:b/>
          <w:sz w:val="28"/>
          <w:szCs w:val="28"/>
        </w:rPr>
        <w:t>.</w:t>
      </w:r>
    </w:p>
    <w:p w:rsidR="004F0FAB" w:rsidRDefault="004F0FAB" w:rsidP="004F0FAB">
      <w:pPr>
        <w:spacing w:line="276" w:lineRule="auto"/>
        <w:rPr>
          <w:rFonts w:cstheme="minorHAnsi"/>
        </w:rPr>
      </w:pPr>
      <w:r>
        <w:rPr>
          <w:rFonts w:cstheme="minorHAnsi"/>
        </w:rPr>
        <w:t xml:space="preserve">●All tenure-track faculty members advise assigned graduate students. They meet with the graduate students at least once each semester and meet with any students who need additional guidance as needed. During this advising, each faculty member reviews: </w:t>
      </w:r>
      <w:proofErr w:type="gramStart"/>
      <w:r>
        <w:rPr>
          <w:rFonts w:cstheme="minorHAnsi"/>
        </w:rPr>
        <w:t xml:space="preserve">transcripts and </w:t>
      </w:r>
      <w:proofErr w:type="spellStart"/>
      <w:r>
        <w:rPr>
          <w:rFonts w:cstheme="minorHAnsi"/>
        </w:rPr>
        <w:t>Calipso</w:t>
      </w:r>
      <w:proofErr w:type="spellEnd"/>
      <w:r>
        <w:rPr>
          <w:rFonts w:cstheme="minorHAnsi"/>
        </w:rPr>
        <w:t xml:space="preserve"> KASA</w:t>
      </w:r>
      <w:proofErr w:type="gramEnd"/>
      <w:r>
        <w:rPr>
          <w:rFonts w:cstheme="minorHAnsi"/>
        </w:rPr>
        <w:t xml:space="preserve"> and cumulative skills evaluations as appropriate. If there are any KASA exams to remediate, faculty members remind the students to complete the remediation in a timely manner. </w:t>
      </w:r>
    </w:p>
    <w:p w:rsidR="004F0FAB" w:rsidRPr="004F0FAB" w:rsidRDefault="004F0FAB" w:rsidP="004F0FAB">
      <w:pPr>
        <w:spacing w:line="276" w:lineRule="auto"/>
        <w:rPr>
          <w:rFonts w:cstheme="minorHAnsi"/>
        </w:rPr>
      </w:pPr>
      <w:r>
        <w:rPr>
          <w:rFonts w:cstheme="minorHAnsi"/>
        </w:rPr>
        <w:t xml:space="preserve">●The department chair reviewed ASHA CCC and RPE application procedures, and the credential coordinator reviewed credential requirements in the COMD 501 class for the fall 2018 class. The department chair will re-review ASHA CCC and RPE applications again during exit interviews in the first week of graduate students’ final semester. The credential-related information </w:t>
      </w:r>
      <w:proofErr w:type="gramStart"/>
      <w:r>
        <w:rPr>
          <w:rFonts w:cstheme="minorHAnsi"/>
        </w:rPr>
        <w:t>will be reviewed</w:t>
      </w:r>
      <w:proofErr w:type="gramEnd"/>
      <w:r>
        <w:rPr>
          <w:rFonts w:cstheme="minorHAnsi"/>
        </w:rPr>
        <w:t xml:space="preserve"> again in COMD 590.</w:t>
      </w:r>
    </w:p>
    <w:p w:rsidR="0062213C" w:rsidRPr="000F489A" w:rsidRDefault="0062213C" w:rsidP="000F489A">
      <w:pPr>
        <w:spacing w:line="276" w:lineRule="auto"/>
        <w:rPr>
          <w:rFonts w:cstheme="minorHAnsi"/>
          <w:b/>
          <w:bCs/>
          <w:sz w:val="32"/>
          <w:szCs w:val="32"/>
        </w:rPr>
      </w:pPr>
    </w:p>
    <w:p w:rsidR="00634B0B" w:rsidRPr="00B76047" w:rsidRDefault="00634B0B" w:rsidP="00B76047">
      <w:pPr>
        <w:spacing w:line="276" w:lineRule="auto"/>
        <w:ind w:left="1080" w:hanging="1080"/>
        <w:rPr>
          <w:rFonts w:cstheme="minorHAnsi"/>
          <w:b/>
          <w:bCs/>
          <w:sz w:val="32"/>
          <w:szCs w:val="32"/>
        </w:rPr>
      </w:pPr>
      <w:r w:rsidRPr="000F489A">
        <w:rPr>
          <w:rFonts w:cstheme="minorHAnsi"/>
          <w:b/>
          <w:bCs/>
          <w:sz w:val="32"/>
          <w:szCs w:val="32"/>
        </w:rPr>
        <w:t>GOAL 7</w:t>
      </w:r>
    </w:p>
    <w:p w:rsidR="00634B0B" w:rsidRDefault="00634B0B" w:rsidP="000F489A">
      <w:pPr>
        <w:spacing w:line="276" w:lineRule="auto"/>
        <w:ind w:left="1080"/>
        <w:rPr>
          <w:rFonts w:cstheme="minorHAnsi"/>
          <w:b/>
          <w:sz w:val="28"/>
          <w:szCs w:val="28"/>
        </w:rPr>
      </w:pPr>
      <w:r w:rsidRPr="000F489A">
        <w:rPr>
          <w:rFonts w:cstheme="minorHAnsi"/>
          <w:b/>
          <w:sz w:val="28"/>
          <w:szCs w:val="28"/>
        </w:rPr>
        <w:t>Improve student persistence, increase graduation rates, and narrow the achievement gap for underrepresented students.</w:t>
      </w:r>
    </w:p>
    <w:p w:rsidR="003E4484" w:rsidRPr="000F489A" w:rsidRDefault="003E4484" w:rsidP="000F489A">
      <w:pPr>
        <w:spacing w:line="276" w:lineRule="auto"/>
        <w:ind w:left="1080"/>
        <w:rPr>
          <w:rFonts w:cstheme="minorHAnsi"/>
          <w:b/>
          <w:sz w:val="28"/>
          <w:szCs w:val="28"/>
        </w:rPr>
      </w:pPr>
    </w:p>
    <w:p w:rsidR="002155AC" w:rsidRDefault="00CF1038" w:rsidP="000F489A">
      <w:pPr>
        <w:spacing w:line="276" w:lineRule="auto"/>
        <w:rPr>
          <w:rFonts w:cstheme="minorHAnsi"/>
        </w:rPr>
      </w:pPr>
      <w:r>
        <w:rPr>
          <w:rFonts w:cstheme="minorHAnsi"/>
        </w:rPr>
        <w:t>●</w:t>
      </w:r>
      <w:r w:rsidR="008358A4" w:rsidRPr="000F489A">
        <w:rPr>
          <w:rFonts w:cstheme="minorHAnsi"/>
        </w:rPr>
        <w:t>The chair and undergraduate adviser collaborate</w:t>
      </w:r>
      <w:r w:rsidR="002155AC">
        <w:rPr>
          <w:rFonts w:cstheme="minorHAnsi"/>
        </w:rPr>
        <w:t xml:space="preserve">d </w:t>
      </w:r>
      <w:r w:rsidR="00F02277" w:rsidRPr="000F489A">
        <w:rPr>
          <w:rFonts w:cstheme="minorHAnsi"/>
        </w:rPr>
        <w:t xml:space="preserve">to </w:t>
      </w:r>
      <w:r w:rsidR="008358A4" w:rsidRPr="000F489A">
        <w:rPr>
          <w:rFonts w:cstheme="minorHAnsi"/>
        </w:rPr>
        <w:t>increas</w:t>
      </w:r>
      <w:r w:rsidR="002155AC">
        <w:rPr>
          <w:rFonts w:cstheme="minorHAnsi"/>
        </w:rPr>
        <w:t xml:space="preserve">e the </w:t>
      </w:r>
      <w:r w:rsidR="00F02277" w:rsidRPr="000F489A">
        <w:rPr>
          <w:rFonts w:cstheme="minorHAnsi"/>
        </w:rPr>
        <w:t>4-year graduation rate</w:t>
      </w:r>
      <w:r w:rsidR="002155AC">
        <w:rPr>
          <w:rFonts w:cstheme="minorHAnsi"/>
        </w:rPr>
        <w:t xml:space="preserve"> during registration periods</w:t>
      </w:r>
      <w:r w:rsidR="00F02277" w:rsidRPr="000F489A">
        <w:rPr>
          <w:rFonts w:cstheme="minorHAnsi"/>
        </w:rPr>
        <w:t xml:space="preserve">. </w:t>
      </w:r>
      <w:r w:rsidR="003E4484">
        <w:rPr>
          <w:rFonts w:cstheme="minorHAnsi"/>
        </w:rPr>
        <w:t>The u</w:t>
      </w:r>
      <w:r>
        <w:rPr>
          <w:rFonts w:cstheme="minorHAnsi"/>
        </w:rPr>
        <w:t>ndergraduate adviser provides major advising for undergraduate students by developing their course plans. Then she assigns tenure-track faculty members as their adviser</w:t>
      </w:r>
      <w:r w:rsidR="003E4484">
        <w:rPr>
          <w:rFonts w:cstheme="minorHAnsi"/>
        </w:rPr>
        <w:t>s</w:t>
      </w:r>
      <w:r>
        <w:rPr>
          <w:rFonts w:cstheme="minorHAnsi"/>
        </w:rPr>
        <w:t xml:space="preserve"> for subsequent advising.</w:t>
      </w:r>
    </w:p>
    <w:p w:rsidR="00E83F2B" w:rsidRDefault="00CF1038" w:rsidP="00E83F2B">
      <w:pPr>
        <w:spacing w:line="276" w:lineRule="auto"/>
        <w:rPr>
          <w:rFonts w:cstheme="minorHAnsi"/>
        </w:rPr>
      </w:pPr>
      <w:r>
        <w:rPr>
          <w:rFonts w:cstheme="minorHAnsi"/>
        </w:rPr>
        <w:t>●</w:t>
      </w:r>
      <w:r w:rsidR="00E83F2B" w:rsidRPr="00E83F2B">
        <w:rPr>
          <w:rFonts w:cstheme="minorHAnsi"/>
        </w:rPr>
        <w:t xml:space="preserve"> </w:t>
      </w:r>
      <w:proofErr w:type="gramStart"/>
      <w:r w:rsidR="00E83F2B">
        <w:rPr>
          <w:rFonts w:cstheme="minorHAnsi"/>
        </w:rPr>
        <w:t>A</w:t>
      </w:r>
      <w:r w:rsidR="00E83F2B" w:rsidRPr="000F489A">
        <w:rPr>
          <w:rFonts w:cstheme="minorHAnsi"/>
        </w:rPr>
        <w:t>ll</w:t>
      </w:r>
      <w:proofErr w:type="gramEnd"/>
      <w:r w:rsidR="00E83F2B" w:rsidRPr="000F489A">
        <w:rPr>
          <w:rFonts w:cstheme="minorHAnsi"/>
        </w:rPr>
        <w:t xml:space="preserve"> tenure-track faculty members</w:t>
      </w:r>
      <w:r w:rsidR="00E83F2B">
        <w:rPr>
          <w:rFonts w:cstheme="minorHAnsi"/>
        </w:rPr>
        <w:t xml:space="preserve"> participate in advising their assigned graduate students</w:t>
      </w:r>
      <w:r w:rsidR="00E83F2B" w:rsidRPr="000F489A">
        <w:rPr>
          <w:rFonts w:cstheme="minorHAnsi"/>
        </w:rPr>
        <w:t xml:space="preserve">. </w:t>
      </w:r>
    </w:p>
    <w:p w:rsidR="00E83F2B" w:rsidRDefault="003E4484" w:rsidP="000F489A">
      <w:pPr>
        <w:spacing w:line="276" w:lineRule="auto"/>
        <w:rPr>
          <w:rFonts w:cstheme="minorHAnsi"/>
        </w:rPr>
      </w:pPr>
      <w:r>
        <w:rPr>
          <w:rFonts w:cstheme="minorHAnsi"/>
        </w:rPr>
        <w:lastRenderedPageBreak/>
        <w:t>The g</w:t>
      </w:r>
      <w:r w:rsidR="002155AC">
        <w:rPr>
          <w:rFonts w:cstheme="minorHAnsi"/>
        </w:rPr>
        <w:t xml:space="preserve">raduate adviser developed a </w:t>
      </w:r>
      <w:r w:rsidR="00F02277" w:rsidRPr="000F489A">
        <w:rPr>
          <w:rFonts w:cstheme="minorHAnsi"/>
        </w:rPr>
        <w:t>graduate advising on-line sign-</w:t>
      </w:r>
      <w:r w:rsidR="002155AC">
        <w:rPr>
          <w:rFonts w:cstheme="minorHAnsi"/>
        </w:rPr>
        <w:t>off to monitor graduate students’ advising</w:t>
      </w:r>
      <w:r w:rsidR="00E83F2B">
        <w:rPr>
          <w:rFonts w:cstheme="minorHAnsi"/>
        </w:rPr>
        <w:t xml:space="preserve"> by each faculty member</w:t>
      </w:r>
      <w:r w:rsidR="002155AC">
        <w:rPr>
          <w:rFonts w:cstheme="minorHAnsi"/>
        </w:rPr>
        <w:t xml:space="preserve">. </w:t>
      </w:r>
    </w:p>
    <w:p w:rsidR="00634B0B" w:rsidRPr="000F489A" w:rsidRDefault="00CF1038" w:rsidP="000F489A">
      <w:pPr>
        <w:spacing w:line="276" w:lineRule="auto"/>
        <w:rPr>
          <w:rFonts w:cstheme="minorHAnsi"/>
        </w:rPr>
      </w:pPr>
      <w:r>
        <w:rPr>
          <w:rFonts w:cstheme="minorHAnsi"/>
        </w:rPr>
        <w:t>●</w:t>
      </w:r>
      <w:r w:rsidR="00C00FDD">
        <w:rPr>
          <w:rFonts w:cstheme="minorHAnsi"/>
        </w:rPr>
        <w:t xml:space="preserve">Two graduate students from </w:t>
      </w:r>
      <w:r w:rsidR="003E4484">
        <w:rPr>
          <w:rFonts w:cstheme="minorHAnsi"/>
        </w:rPr>
        <w:t xml:space="preserve">the </w:t>
      </w:r>
      <w:r w:rsidR="00C00FDD">
        <w:rPr>
          <w:rFonts w:cstheme="minorHAnsi"/>
        </w:rPr>
        <w:t>fall 2018 class, who met the eligibility criteria for Health Career Opportunity2 (HCOP 2) graduate ambassador</w:t>
      </w:r>
      <w:r w:rsidR="003E4484">
        <w:rPr>
          <w:rFonts w:cstheme="minorHAnsi"/>
        </w:rPr>
        <w:t>s</w:t>
      </w:r>
      <w:r w:rsidR="00C00FDD">
        <w:rPr>
          <w:rFonts w:cstheme="minorHAnsi"/>
        </w:rPr>
        <w:t xml:space="preserve">, were selected to receive </w:t>
      </w:r>
      <w:r w:rsidR="003E4484">
        <w:rPr>
          <w:rFonts w:cstheme="minorHAnsi"/>
        </w:rPr>
        <w:t xml:space="preserve">a </w:t>
      </w:r>
      <w:r w:rsidR="00C00FDD">
        <w:rPr>
          <w:rFonts w:cstheme="minorHAnsi"/>
        </w:rPr>
        <w:t>$3000 stipend per year for two years.</w:t>
      </w:r>
    </w:p>
    <w:p w:rsidR="00634B0B" w:rsidRPr="000F489A" w:rsidRDefault="00634B0B" w:rsidP="000F489A">
      <w:pPr>
        <w:spacing w:line="276" w:lineRule="auto"/>
        <w:rPr>
          <w:rFonts w:cstheme="minorHAnsi"/>
        </w:rPr>
      </w:pPr>
    </w:p>
    <w:p w:rsidR="00634B0B" w:rsidRPr="00B76047" w:rsidRDefault="00634B0B" w:rsidP="00B76047">
      <w:pPr>
        <w:spacing w:line="276" w:lineRule="auto"/>
        <w:ind w:left="1080" w:hanging="1080"/>
        <w:rPr>
          <w:rFonts w:cstheme="minorHAnsi"/>
          <w:b/>
          <w:bCs/>
          <w:sz w:val="32"/>
          <w:szCs w:val="32"/>
        </w:rPr>
      </w:pPr>
      <w:r w:rsidRPr="000F489A">
        <w:rPr>
          <w:rFonts w:cstheme="minorHAnsi"/>
          <w:b/>
          <w:bCs/>
          <w:sz w:val="32"/>
          <w:szCs w:val="32"/>
        </w:rPr>
        <w:t>GOAL 8</w:t>
      </w:r>
    </w:p>
    <w:p w:rsidR="00634B0B" w:rsidRDefault="00634B0B" w:rsidP="000F489A">
      <w:pPr>
        <w:spacing w:line="276" w:lineRule="auto"/>
        <w:ind w:left="1080"/>
        <w:rPr>
          <w:rFonts w:cstheme="minorHAnsi"/>
          <w:b/>
          <w:sz w:val="28"/>
          <w:szCs w:val="28"/>
        </w:rPr>
      </w:pPr>
      <w:r w:rsidRPr="000F489A">
        <w:rPr>
          <w:rFonts w:cstheme="minorHAnsi"/>
          <w:b/>
          <w:sz w:val="28"/>
          <w:szCs w:val="28"/>
        </w:rPr>
        <w:t xml:space="preserve">Recruit and retain a </w:t>
      </w:r>
      <w:proofErr w:type="gramStart"/>
      <w:r w:rsidRPr="000F489A">
        <w:rPr>
          <w:rFonts w:cstheme="minorHAnsi"/>
          <w:b/>
          <w:sz w:val="28"/>
          <w:szCs w:val="28"/>
        </w:rPr>
        <w:t>high-quality</w:t>
      </w:r>
      <w:proofErr w:type="gramEnd"/>
      <w:r w:rsidRPr="000F489A">
        <w:rPr>
          <w:rFonts w:cstheme="minorHAnsi"/>
          <w:b/>
          <w:sz w:val="28"/>
          <w:szCs w:val="28"/>
        </w:rPr>
        <w:t xml:space="preserve"> and diverse faculty and staff.</w:t>
      </w:r>
    </w:p>
    <w:p w:rsidR="000F489A" w:rsidRPr="000F489A" w:rsidRDefault="000F489A" w:rsidP="000F489A">
      <w:pPr>
        <w:spacing w:line="276" w:lineRule="auto"/>
        <w:ind w:left="1080"/>
        <w:rPr>
          <w:rFonts w:cstheme="minorHAnsi"/>
          <w:b/>
          <w:sz w:val="28"/>
          <w:szCs w:val="28"/>
        </w:rPr>
      </w:pPr>
    </w:p>
    <w:p w:rsidR="00634B0B" w:rsidRDefault="00CF1038" w:rsidP="000F489A">
      <w:pPr>
        <w:spacing w:line="276" w:lineRule="auto"/>
        <w:rPr>
          <w:rFonts w:cstheme="minorHAnsi"/>
        </w:rPr>
      </w:pPr>
      <w:r>
        <w:rPr>
          <w:rFonts w:cstheme="minorHAnsi"/>
        </w:rPr>
        <w:t xml:space="preserve">● Seven out of 11 full-time faculty members are diverse in ethnicity, sexual orientation, </w:t>
      </w:r>
      <w:r w:rsidR="003E4484">
        <w:rPr>
          <w:rFonts w:cstheme="minorHAnsi"/>
        </w:rPr>
        <w:t xml:space="preserve">and </w:t>
      </w:r>
      <w:r>
        <w:rPr>
          <w:rFonts w:cstheme="minorHAnsi"/>
        </w:rPr>
        <w:t xml:space="preserve">institutions they received their degrees in AY 2018-2019. </w:t>
      </w:r>
    </w:p>
    <w:p w:rsidR="00CF1038" w:rsidRDefault="00CF1038" w:rsidP="000F489A">
      <w:pPr>
        <w:spacing w:line="276" w:lineRule="auto"/>
        <w:rPr>
          <w:rFonts w:cstheme="minorHAnsi"/>
        </w:rPr>
      </w:pPr>
      <w:r>
        <w:rPr>
          <w:rFonts w:cstheme="minorHAnsi"/>
        </w:rPr>
        <w:t xml:space="preserve">● </w:t>
      </w:r>
      <w:r w:rsidR="003E4484">
        <w:rPr>
          <w:rFonts w:cstheme="minorHAnsi"/>
        </w:rPr>
        <w:t xml:space="preserve">One faculty member received </w:t>
      </w:r>
      <w:r>
        <w:rPr>
          <w:rFonts w:cstheme="minorHAnsi"/>
        </w:rPr>
        <w:t>tenure in 2016 and another f</w:t>
      </w:r>
      <w:r w:rsidR="003E4484">
        <w:rPr>
          <w:rFonts w:cstheme="minorHAnsi"/>
        </w:rPr>
        <w:t xml:space="preserve">aculty is progressing </w:t>
      </w:r>
      <w:proofErr w:type="gramStart"/>
      <w:r w:rsidR="003E4484">
        <w:rPr>
          <w:rFonts w:cstheme="minorHAnsi"/>
        </w:rPr>
        <w:t xml:space="preserve">toward </w:t>
      </w:r>
      <w:r>
        <w:rPr>
          <w:rFonts w:cstheme="minorHAnsi"/>
        </w:rPr>
        <w:t xml:space="preserve"> tenure</w:t>
      </w:r>
      <w:proofErr w:type="gramEnd"/>
      <w:r>
        <w:rPr>
          <w:rFonts w:cstheme="minorHAnsi"/>
        </w:rPr>
        <w:t>.</w:t>
      </w:r>
    </w:p>
    <w:p w:rsidR="00CF1038" w:rsidRPr="000F489A" w:rsidRDefault="00CF1038" w:rsidP="000F489A">
      <w:pPr>
        <w:spacing w:line="276" w:lineRule="auto"/>
        <w:rPr>
          <w:rFonts w:cstheme="minorHAnsi"/>
        </w:rPr>
      </w:pPr>
      <w:r>
        <w:rPr>
          <w:rFonts w:cstheme="minorHAnsi"/>
        </w:rPr>
        <w:t>●</w:t>
      </w:r>
      <w:r w:rsidR="00C21852">
        <w:rPr>
          <w:rFonts w:cstheme="minorHAnsi"/>
        </w:rPr>
        <w:t xml:space="preserve"> Full-time faculty members who presented at national and/or state conventions received travel support of $1500</w:t>
      </w:r>
      <w:r w:rsidR="00E83F2B">
        <w:rPr>
          <w:rFonts w:cstheme="minorHAnsi"/>
        </w:rPr>
        <w:t xml:space="preserve"> in AY-18-19</w:t>
      </w:r>
      <w:r w:rsidR="00C21852">
        <w:rPr>
          <w:rFonts w:cstheme="minorHAnsi"/>
        </w:rPr>
        <w:t>. Faculty members who did not present received $500 to support their continuing education.</w:t>
      </w:r>
    </w:p>
    <w:p w:rsidR="00634B0B" w:rsidRPr="000F489A" w:rsidRDefault="00634B0B" w:rsidP="000F489A">
      <w:pPr>
        <w:spacing w:line="276" w:lineRule="auto"/>
        <w:rPr>
          <w:rFonts w:cstheme="minorHAnsi"/>
        </w:rPr>
      </w:pPr>
    </w:p>
    <w:p w:rsidR="00634B0B" w:rsidRPr="000F489A" w:rsidRDefault="00634B0B" w:rsidP="000F489A">
      <w:pPr>
        <w:spacing w:line="276" w:lineRule="auto"/>
        <w:ind w:left="1080" w:hanging="1080"/>
        <w:rPr>
          <w:rFonts w:cstheme="minorHAnsi"/>
          <w:b/>
          <w:bCs/>
          <w:sz w:val="32"/>
          <w:szCs w:val="32"/>
        </w:rPr>
      </w:pPr>
      <w:r w:rsidRPr="000F489A">
        <w:rPr>
          <w:rFonts w:cstheme="minorHAnsi"/>
          <w:b/>
          <w:bCs/>
          <w:sz w:val="32"/>
          <w:szCs w:val="32"/>
        </w:rPr>
        <w:t>GOAL 9</w:t>
      </w:r>
    </w:p>
    <w:p w:rsidR="008358A4" w:rsidRPr="000F489A" w:rsidRDefault="00634B0B" w:rsidP="000F489A">
      <w:pPr>
        <w:spacing w:line="276" w:lineRule="auto"/>
        <w:ind w:left="1080"/>
        <w:rPr>
          <w:rFonts w:cstheme="minorHAnsi"/>
          <w:b/>
          <w:sz w:val="28"/>
          <w:szCs w:val="28"/>
        </w:rPr>
      </w:pPr>
      <w:r w:rsidRPr="000F489A">
        <w:rPr>
          <w:rFonts w:cstheme="minorHAnsi"/>
          <w:b/>
          <w:sz w:val="28"/>
          <w:szCs w:val="28"/>
        </w:rPr>
        <w:t>Increase revenue through fundraising, entrepreneurial activities, grants, and contracts.</w:t>
      </w:r>
    </w:p>
    <w:p w:rsidR="00C21852" w:rsidRDefault="00C21852" w:rsidP="000F489A">
      <w:pPr>
        <w:spacing w:line="276" w:lineRule="auto"/>
        <w:rPr>
          <w:rFonts w:cstheme="minorHAnsi"/>
        </w:rPr>
      </w:pPr>
      <w:r>
        <w:rPr>
          <w:rFonts w:cstheme="minorHAnsi"/>
        </w:rPr>
        <w:t>●Ellen Lamberth and Linda Pippe</w:t>
      </w:r>
      <w:r w:rsidR="003E4484">
        <w:rPr>
          <w:rFonts w:cstheme="minorHAnsi"/>
        </w:rPr>
        <w:t xml:space="preserve">rt </w:t>
      </w:r>
      <w:proofErr w:type="gramStart"/>
      <w:r w:rsidR="003E4484">
        <w:rPr>
          <w:rFonts w:cstheme="minorHAnsi"/>
        </w:rPr>
        <w:t>were recognized</w:t>
      </w:r>
      <w:proofErr w:type="gramEnd"/>
      <w:r w:rsidR="003E4484">
        <w:rPr>
          <w:rFonts w:cstheme="minorHAnsi"/>
        </w:rPr>
        <w:t xml:space="preserve"> as the 2019 A</w:t>
      </w:r>
      <w:r>
        <w:rPr>
          <w:rFonts w:cstheme="minorHAnsi"/>
        </w:rPr>
        <w:t xml:space="preserve">lumni </w:t>
      </w:r>
      <w:r w:rsidR="003E4484">
        <w:rPr>
          <w:rFonts w:cstheme="minorHAnsi"/>
        </w:rPr>
        <w:t xml:space="preserve">of the Year </w:t>
      </w:r>
      <w:r>
        <w:rPr>
          <w:rFonts w:cstheme="minorHAnsi"/>
        </w:rPr>
        <w:t>at the annual Honors and Awards ceremony in May 2019.</w:t>
      </w:r>
    </w:p>
    <w:p w:rsidR="00C21852" w:rsidRDefault="00C21852" w:rsidP="000F489A">
      <w:pPr>
        <w:spacing w:line="276" w:lineRule="auto"/>
        <w:rPr>
          <w:rFonts w:cstheme="minorHAnsi"/>
        </w:rPr>
      </w:pPr>
      <w:r>
        <w:rPr>
          <w:rFonts w:cstheme="minorHAnsi"/>
        </w:rPr>
        <w:t xml:space="preserve">● </w:t>
      </w:r>
      <w:proofErr w:type="gramStart"/>
      <w:r>
        <w:rPr>
          <w:rFonts w:cstheme="minorHAnsi"/>
        </w:rPr>
        <w:t>Three</w:t>
      </w:r>
      <w:proofErr w:type="gramEnd"/>
      <w:r>
        <w:rPr>
          <w:rFonts w:cstheme="minorHAnsi"/>
        </w:rPr>
        <w:t xml:space="preserve"> full-time faculty members attended </w:t>
      </w:r>
      <w:r w:rsidR="003E4484">
        <w:rPr>
          <w:rFonts w:cstheme="minorHAnsi"/>
        </w:rPr>
        <w:t>the NSSHLA fund-</w:t>
      </w:r>
      <w:r>
        <w:rPr>
          <w:rFonts w:cstheme="minorHAnsi"/>
        </w:rPr>
        <w:t>raising gala in November 2018.</w:t>
      </w:r>
    </w:p>
    <w:p w:rsidR="00634B0B" w:rsidRPr="000F489A" w:rsidRDefault="00C21852" w:rsidP="000F489A">
      <w:pPr>
        <w:spacing w:line="276" w:lineRule="auto"/>
        <w:rPr>
          <w:rFonts w:cstheme="minorHAnsi"/>
        </w:rPr>
      </w:pPr>
      <w:r>
        <w:rPr>
          <w:rFonts w:cstheme="minorHAnsi"/>
        </w:rPr>
        <w:t xml:space="preserve">● </w:t>
      </w:r>
      <w:proofErr w:type="gramStart"/>
      <w:r>
        <w:rPr>
          <w:rFonts w:cstheme="minorHAnsi"/>
        </w:rPr>
        <w:t>One</w:t>
      </w:r>
      <w:proofErr w:type="gramEnd"/>
      <w:r>
        <w:rPr>
          <w:rFonts w:cstheme="minorHAnsi"/>
        </w:rPr>
        <w:t xml:space="preserve"> faculty member received </w:t>
      </w:r>
      <w:r w:rsidR="003E4484">
        <w:rPr>
          <w:rFonts w:cstheme="minorHAnsi"/>
        </w:rPr>
        <w:t xml:space="preserve">a </w:t>
      </w:r>
      <w:r>
        <w:rPr>
          <w:rFonts w:cstheme="minorHAnsi"/>
        </w:rPr>
        <w:t>Jr/</w:t>
      </w:r>
      <w:proofErr w:type="spellStart"/>
      <w:r>
        <w:rPr>
          <w:rFonts w:cstheme="minorHAnsi"/>
        </w:rPr>
        <w:t>Sr</w:t>
      </w:r>
      <w:proofErr w:type="spellEnd"/>
      <w:r>
        <w:rPr>
          <w:rFonts w:cstheme="minorHAnsi"/>
        </w:rPr>
        <w:t xml:space="preserve"> intramural grant, two faculty members received assigned time for Exceptional Levels of Services to Students, and two facul</w:t>
      </w:r>
      <w:r w:rsidR="00C41D4C">
        <w:rPr>
          <w:rFonts w:cstheme="minorHAnsi"/>
        </w:rPr>
        <w:t>ty members received Instruction-</w:t>
      </w:r>
      <w:r>
        <w:rPr>
          <w:rFonts w:cstheme="minorHAnsi"/>
        </w:rPr>
        <w:t>Related Award (ISA).</w:t>
      </w:r>
      <w:r w:rsidRPr="000F489A">
        <w:rPr>
          <w:rFonts w:cstheme="minorHAnsi"/>
        </w:rPr>
        <w:t xml:space="preserve"> </w:t>
      </w:r>
    </w:p>
    <w:sectPr w:rsidR="00634B0B" w:rsidRPr="000F4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48"/>
    <w:rsid w:val="000061BD"/>
    <w:rsid w:val="00015FE1"/>
    <w:rsid w:val="000F0948"/>
    <w:rsid w:val="000F489A"/>
    <w:rsid w:val="0013334D"/>
    <w:rsid w:val="001773B5"/>
    <w:rsid w:val="001D5098"/>
    <w:rsid w:val="002155AC"/>
    <w:rsid w:val="002174C3"/>
    <w:rsid w:val="00324EAF"/>
    <w:rsid w:val="003B1CE8"/>
    <w:rsid w:val="003B3CE8"/>
    <w:rsid w:val="003E4484"/>
    <w:rsid w:val="004567A6"/>
    <w:rsid w:val="004666C9"/>
    <w:rsid w:val="00484DFF"/>
    <w:rsid w:val="004F0FAB"/>
    <w:rsid w:val="00526C48"/>
    <w:rsid w:val="00563A7F"/>
    <w:rsid w:val="005803F9"/>
    <w:rsid w:val="005C0DCF"/>
    <w:rsid w:val="005F4F48"/>
    <w:rsid w:val="0062213C"/>
    <w:rsid w:val="00634B0B"/>
    <w:rsid w:val="00701140"/>
    <w:rsid w:val="00710650"/>
    <w:rsid w:val="008358A4"/>
    <w:rsid w:val="00841782"/>
    <w:rsid w:val="008F0D61"/>
    <w:rsid w:val="009A2926"/>
    <w:rsid w:val="009A6565"/>
    <w:rsid w:val="009B4E4B"/>
    <w:rsid w:val="00A07668"/>
    <w:rsid w:val="00A16ADB"/>
    <w:rsid w:val="00A22CF2"/>
    <w:rsid w:val="00AF1F11"/>
    <w:rsid w:val="00B533DB"/>
    <w:rsid w:val="00B76047"/>
    <w:rsid w:val="00BD7748"/>
    <w:rsid w:val="00C00FDD"/>
    <w:rsid w:val="00C21852"/>
    <w:rsid w:val="00C41D4C"/>
    <w:rsid w:val="00CD2FC4"/>
    <w:rsid w:val="00CF1038"/>
    <w:rsid w:val="00D07556"/>
    <w:rsid w:val="00D90C74"/>
    <w:rsid w:val="00DA568A"/>
    <w:rsid w:val="00DA7515"/>
    <w:rsid w:val="00DC7B97"/>
    <w:rsid w:val="00E83F2B"/>
    <w:rsid w:val="00F02277"/>
    <w:rsid w:val="00F1371E"/>
    <w:rsid w:val="00F20B3E"/>
    <w:rsid w:val="00F50B52"/>
    <w:rsid w:val="00F53449"/>
    <w:rsid w:val="00F63943"/>
    <w:rsid w:val="00F96B0E"/>
    <w:rsid w:val="00FA0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B5AC"/>
  <w15:chartTrackingRefBased/>
  <w15:docId w15:val="{7EE80303-8A53-4AB4-80A9-79CC274F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B0B"/>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65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565"/>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5</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HyeKyeung</dc:creator>
  <cp:keywords/>
  <dc:description/>
  <cp:lastModifiedBy>Seung, HyeKyeung</cp:lastModifiedBy>
  <cp:revision>25</cp:revision>
  <cp:lastPrinted>2019-08-08T18:10:00Z</cp:lastPrinted>
  <dcterms:created xsi:type="dcterms:W3CDTF">2019-08-05T22:34:00Z</dcterms:created>
  <dcterms:modified xsi:type="dcterms:W3CDTF">2020-01-23T20:56:00Z</dcterms:modified>
</cp:coreProperties>
</file>